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filed with the Securities and Exchange Commission on September 21, 2026</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UNITED STATES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SECURITIES AND EXCHANGE COMMISSION </w:t>
      </w:r>
    </w:p>
    <w:p>
      <w:pPr>
        <w:pStyle w:val="TextBody"/>
        <w:bidi w:val="0"/>
        <w:spacing w:lineRule="auto" w:line="288" w:before="0" w:after="160"/>
        <w:jc w:val="center"/>
        <w:rPr>
          <w:rFonts w:ascii="Arial;sans-serif" w:hAnsi="Arial;sans-serif"/>
          <w:b/>
          <w:color w:val="000000"/>
          <w:sz w:val="24"/>
        </w:rPr>
      </w:pPr>
      <w:r>
        <w:rPr>
          <w:rFonts w:ascii="Arial;sans-serif" w:hAnsi="Arial;sans-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S-8</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REGISTRATION STATEMENT </w:t>
      </w:r>
    </w:p>
    <w:p>
      <w:pPr>
        <w:pStyle w:val="TextBody"/>
        <w:bidi w:val="0"/>
        <w:spacing w:lineRule="auto" w:line="288" w:before="0" w:after="0"/>
        <w:jc w:val="center"/>
        <w:rPr>
          <w:rFonts w:ascii="Arial;sans-serif" w:hAnsi="Arial;sans-serif"/>
          <w:b/>
          <w:i/>
          <w:color w:val="000000"/>
          <w:sz w:val="24"/>
        </w:rPr>
      </w:pPr>
      <w:r>
        <w:rPr>
          <w:rFonts w:ascii="Arial;sans-serif" w:hAnsi="Arial;sans-serif"/>
          <w:b/>
          <w:i/>
          <w:color w:val="000000"/>
          <w:sz w:val="24"/>
        </w:rPr>
        <w:t xml:space="preserve">UNDER </w:t>
      </w:r>
    </w:p>
    <w:p>
      <w:pPr>
        <w:pStyle w:val="TextBody"/>
        <w:bidi w:val="0"/>
        <w:spacing w:lineRule="auto" w:line="288" w:before="0" w:after="160"/>
        <w:jc w:val="center"/>
        <w:rPr>
          <w:rFonts w:ascii="Arial;sans-serif" w:hAnsi="Arial;sans-serif"/>
          <w:b/>
          <w:i/>
          <w:color w:val="000000"/>
          <w:sz w:val="24"/>
        </w:rPr>
      </w:pPr>
      <w:r>
        <w:rPr>
          <w:rFonts w:ascii="Arial;sans-serif" w:hAnsi="Arial;sans-serif"/>
          <w:b/>
          <w:i/>
          <w:color w:val="000000"/>
          <w:sz w:val="24"/>
        </w:rPr>
        <w:t xml:space="preserve">THE SECURITIES ACT OF 1933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 xml:space="preserve">ORION180 INSURANCE GROUP INC. </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50" w:type="dxa"/>
        <w:jc w:val="left"/>
        <w:tblInd w:w="0" w:type="dxa"/>
        <w:tblLayout w:type="fixed"/>
        <w:tblCellMar>
          <w:top w:w="28" w:type="dxa"/>
          <w:left w:w="28" w:type="dxa"/>
          <w:bottom w:w="28" w:type="dxa"/>
          <w:right w:w="28" w:type="dxa"/>
        </w:tblCellMar>
      </w:tblPr>
      <w:tblGrid>
        <w:gridCol w:w="921"/>
        <w:gridCol w:w="809"/>
        <w:gridCol w:w="819"/>
        <w:gridCol w:w="109"/>
        <w:gridCol w:w="109"/>
        <w:gridCol w:w="109"/>
        <w:gridCol w:w="460"/>
        <w:gridCol w:w="460"/>
        <w:gridCol w:w="6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88-0901536</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Identification No.)</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930 S. Harbor City Blvd., Suite 302 Melbourne, Florida 32901</w:t>
      </w:r>
    </w:p>
    <w:p>
      <w:pPr>
        <w:pStyle w:val="TextBody"/>
        <w:bidi w:val="0"/>
        <w:spacing w:lineRule="auto" w:line="288" w:before="0" w:after="160"/>
        <w:jc w:val="center"/>
        <w:rPr>
          <w:rFonts w:ascii="Arial;sans-serif" w:hAnsi="Arial;sans-serif"/>
          <w:b/>
          <w:color w:val="000000"/>
          <w:sz w:val="16"/>
        </w:rPr>
      </w:pPr>
      <w:r>
        <w:rPr>
          <w:rFonts w:ascii="Arial;sans-serif" w:hAnsi="Arial;sans-serif"/>
          <w:b/>
          <w:color w:val="000000"/>
          <w:sz w:val="16"/>
        </w:rPr>
        <w:t xml:space="preserve">(Address of Principal Executive Offices)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Equity Incentive Plan of Orion180 Group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2026 Equity Incentive Plan of Orion180 Insurance Group Inc.</w:t>
      </w:r>
    </w:p>
    <w:p>
      <w:pPr>
        <w:pStyle w:val="TextBody"/>
        <w:bidi w:val="0"/>
        <w:spacing w:lineRule="auto" w:line="288" w:before="0" w:after="160"/>
        <w:jc w:val="center"/>
        <w:rPr>
          <w:rFonts w:ascii="Arial;sans-serif" w:hAnsi="Arial;sans-serif"/>
          <w:b/>
          <w:color w:val="000000"/>
          <w:sz w:val="16"/>
        </w:rPr>
      </w:pPr>
      <w:r>
        <w:rPr>
          <w:rFonts w:ascii="Arial;sans-serif" w:hAnsi="Arial;sans-serif"/>
          <w:b/>
          <w:color w:val="000000"/>
          <w:sz w:val="16"/>
        </w:rPr>
        <w:t xml:space="preserve">(Full Title of the Plans)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Kenneth Gregg</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Orion180 Insurance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930 S. Harbor City Blvd., Suite 302 Melbourne, Florida 32901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Telephone: (321) 213-6222 </w:t>
      </w:r>
    </w:p>
    <w:p>
      <w:pPr>
        <w:pStyle w:val="TextBody"/>
        <w:bidi w:val="0"/>
        <w:spacing w:lineRule="auto" w:line="288" w:before="0" w:after="160"/>
        <w:jc w:val="center"/>
        <w:rPr>
          <w:rFonts w:ascii="Arial;sans-serif" w:hAnsi="Arial;sans-serif"/>
          <w:b/>
          <w:color w:val="000000"/>
          <w:sz w:val="16"/>
        </w:rPr>
      </w:pPr>
      <w:r>
        <w:rPr>
          <w:rFonts w:ascii="Arial;sans-serif" w:hAnsi="Arial;sans-serif"/>
          <w:b/>
          <w:color w:val="000000"/>
          <w:sz w:val="16"/>
        </w:rPr>
        <w:t xml:space="preserve">(Name, Address and Telephone Number, Including Area Code, of Agent for Service)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Arial;sans-serif" w:hAnsi="Arial;sans-serif"/>
          <w:b/>
          <w:i/>
          <w:color w:val="000000"/>
          <w:sz w:val="20"/>
        </w:rPr>
      </w:pPr>
      <w:r>
        <w:rPr>
          <w:rFonts w:ascii="Arial;sans-serif" w:hAnsi="Arial;sans-serif"/>
          <w:b/>
          <w:i/>
          <w:color w:val="000000"/>
          <w:sz w:val="20"/>
        </w:rPr>
        <w:t>Copies to:</w:t>
      </w:r>
    </w:p>
    <w:tbl>
      <w:tblPr>
        <w:tblW w:w="10205" w:type="dxa"/>
        <w:jc w:val="left"/>
        <w:tblInd w:w="0" w:type="dxa"/>
        <w:tblLayout w:type="fixed"/>
        <w:tblCellMar>
          <w:top w:w="28" w:type="dxa"/>
          <w:left w:w="28" w:type="dxa"/>
          <w:bottom w:w="28" w:type="dxa"/>
          <w:right w:w="28" w:type="dxa"/>
        </w:tblCellMar>
      </w:tblPr>
      <w:tblGrid>
        <w:gridCol w:w="843"/>
        <w:gridCol w:w="738"/>
        <w:gridCol w:w="743"/>
        <w:gridCol w:w="1502"/>
        <w:gridCol w:w="1502"/>
        <w:gridCol w:w="1506"/>
        <w:gridCol w:w="984"/>
        <w:gridCol w:w="984"/>
        <w:gridCol w:w="1403"/>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 D. Jaffe</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Erika L. Weinberg</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Gary D. Boss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Latham &amp; Watkins LLP</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1271 Avenue of the Americas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New York, New York 10020</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(212) 906-1200</w:t>
            </w:r>
          </w:p>
        </w:tc>
        <w:tc>
          <w:tcPr>
            <w:tcW w:w="45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Christoph Birchler</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Orion180 Insurance Group Inc.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930 S. Harbor City Blvd., Suite 302 Melbourne, Florida 32901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(321) 213-6222</w:t>
            </w:r>
          </w:p>
        </w:tc>
        <w:tc>
          <w:tcPr>
            <w:tcW w:w="33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Dwight S. Yoo</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Ryan J. Dzierniejko</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Victoria R. Hines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Michael P. Reed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Skadden, Arps, Slate, Meagher &amp; Flom LLP</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One Manhattan West</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New York, New York 10001</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(212) 735-3000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 xml:space="preserve">Proposed sales to take place as soon after the effective date of the registration statement as awards granted under the above-named plans are granted, exercised and/or distributed.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 xml:space="preserve">PART I </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 xml:space="preserve">INFORMATION REQUIRED IN THE SECTION 10(a) PROSPECTUS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documents containing the information specified in Part I of Form S-8 will be sent or given to participants as specified by Rule 428(b)(1) of the Securities Act of 1933, as amended (the “Securities Act”). Such documents are not being filed with or included in this registration statement (by incorporation by reference or otherwise) in accordance with the rules and regulations of the Securities and Exchange Commission (the “SEC”). These documents and the documents incorporated by reference into this registration statement pursuant to Item 3 of Part II of this registration statement, taken together, constitute a prospectus that meets the requirements of Section 10(a)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I-1</w:t>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 xml:space="preserve">PART II </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 xml:space="preserve">INFORMATION REQUIRED IN THE REGISTRATION STATEMENT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In this registration statement, Orion180 Insurance Group Inc. is sometimes referred to as the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 xml:space="preserve">Item 3. Incorporation of Documents by Reference.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documents filed by the Registrant with the SEC are hereby incorporated by reference into this registration statement: </w:t>
      </w:r>
    </w:p>
    <w:p>
      <w:pPr>
        <w:pStyle w:val="TextBody"/>
        <w:bidi w:val="0"/>
        <w:spacing w:lineRule="auto" w:line="288" w:before="0" w:after="160"/>
        <w:ind w:left="0" w:right="0" w:hanging="360"/>
        <w:jc w:val="left"/>
        <w:rPr/>
      </w:pPr>
      <w:r>
        <w:rPr>
          <w:rFonts w:ascii="Arial;sans-serif" w:hAnsi="Arial;sans-serif"/>
          <w:b w:val="false"/>
          <w:color w:val="000000"/>
          <w:sz w:val="20"/>
        </w:rPr>
        <w:t xml:space="preserve">(a)the Registrant’s registration statement on Form S-1, filed with the SEC on </w:t>
      </w:r>
      <w:hyperlink r:id="rId2">
        <w:r>
          <w:rPr>
            <w:rStyle w:val="InternetLink"/>
          </w:rPr>
          <w:t>April 2</w:t>
        </w:r>
      </w:hyperlink>
      <w:hyperlink r:id="rId3">
        <w:r>
          <w:rPr>
            <w:rStyle w:val="InternetLink"/>
          </w:rPr>
          <w:t>7</w:t>
        </w:r>
      </w:hyperlink>
      <w:hyperlink r:id="rId4">
        <w:r>
          <w:rPr>
            <w:rStyle w:val="InternetLink"/>
          </w:rPr>
          <w:t>, 2026</w:t>
        </w:r>
      </w:hyperlink>
      <w:r>
        <w:rPr>
          <w:color w:val="000000"/>
        </w:rPr>
        <w:t xml:space="preserve"> </w:t>
      </w:r>
      <w:r>
        <w:rPr>
          <w:rFonts w:ascii="Arial;sans-serif" w:hAnsi="Arial;sans-serif"/>
          <w:b w:val="false"/>
          <w:color w:val="000000"/>
          <w:sz w:val="20"/>
        </w:rPr>
        <w:t>(Registration No. 377-09299), which contains the Registrant’s audited financial statements for the latest fiscal year for which such statements have been filed;</w:t>
      </w:r>
    </w:p>
    <w:p>
      <w:pPr>
        <w:pStyle w:val="TextBody"/>
        <w:bidi w:val="0"/>
        <w:spacing w:lineRule="auto" w:line="288" w:before="0" w:after="160"/>
        <w:ind w:left="0" w:right="0" w:hanging="360"/>
        <w:jc w:val="left"/>
        <w:rPr/>
      </w:pPr>
      <w:r>
        <w:rPr>
          <w:rFonts w:ascii="Arial;sans-serif" w:hAnsi="Arial;sans-serif"/>
          <w:b w:val="false"/>
          <w:color w:val="000000"/>
          <w:sz w:val="20"/>
        </w:rPr>
        <w:t xml:space="preserve">(b)Amendment No. 1 to the Registrant’s registration statement on Form S-1, filed with the SEC on </w:t>
      </w:r>
      <w:hyperlink r:id="rId5">
        <w:r>
          <w:rPr>
            <w:rStyle w:val="InternetLink"/>
            <w:rFonts w:ascii="Arial;sans-serif" w:hAnsi="Arial;sans-serif"/>
            <w:b w:val="false"/>
            <w:color w:val="0000FF"/>
            <w:sz w:val="20"/>
            <w:u w:val="single"/>
          </w:rPr>
          <w:t>September 9, 2026</w:t>
        </w:r>
      </w:hyperlink>
      <w:r>
        <w:rPr>
          <w:color w:val="000000"/>
        </w:rPr>
        <w:t xml:space="preserve"> </w:t>
      </w:r>
      <w:r>
        <w:rPr>
          <w:rFonts w:ascii="Arial;sans-serif" w:hAnsi="Arial;sans-serif"/>
          <w:b w:val="false"/>
          <w:color w:val="000000"/>
          <w:sz w:val="20"/>
        </w:rPr>
        <w:t>(Registration No. 333-298453) which contains the Registrant’s audited financial statements for the latest fiscal year for which such statements have been filed;</w:t>
      </w:r>
    </w:p>
    <w:p>
      <w:pPr>
        <w:pStyle w:val="TextBody"/>
        <w:bidi w:val="0"/>
        <w:spacing w:lineRule="auto" w:line="288" w:before="0" w:after="160"/>
        <w:ind w:left="0" w:right="0" w:hanging="360"/>
        <w:jc w:val="left"/>
        <w:rPr/>
      </w:pPr>
      <w:r>
        <w:rPr>
          <w:rFonts w:ascii="Arial;sans-serif" w:hAnsi="Arial;sans-serif"/>
          <w:b w:val="false"/>
          <w:color w:val="000000"/>
          <w:sz w:val="20"/>
        </w:rPr>
        <w:t xml:space="preserve">(c)the prospectus filed by the Registrant with the SEC on </w:t>
      </w:r>
      <w:hyperlink r:id="rId6">
        <w:r>
          <w:rPr>
            <w:rStyle w:val="InternetLink"/>
          </w:rPr>
          <w:t xml:space="preserve">September </w:t>
        </w:r>
      </w:hyperlink>
      <w:hyperlink r:id="rId7">
        <w:r>
          <w:rPr>
            <w:rStyle w:val="InternetLink"/>
          </w:rPr>
          <w:t>21</w:t>
        </w:r>
      </w:hyperlink>
      <w:hyperlink r:id="rId8">
        <w:r>
          <w:rPr>
            <w:rStyle w:val="InternetLink"/>
          </w:rPr>
          <w:t>, 2026</w:t>
        </w:r>
      </w:hyperlink>
      <w:r>
        <w:rPr>
          <w:color w:val="000000"/>
        </w:rPr>
        <w:t xml:space="preserve"> </w:t>
      </w:r>
      <w:r>
        <w:rPr>
          <w:rFonts w:ascii="Arial;sans-serif" w:hAnsi="Arial;sans-serif"/>
          <w:b w:val="false"/>
          <w:color w:val="000000"/>
          <w:sz w:val="20"/>
        </w:rPr>
        <w:t>pursuant to Rule 424(b) under the Securities Act, relating to the registration statement on Form S-1, as amended (Registration No. 333-298453); and</w:t>
      </w:r>
    </w:p>
    <w:p>
      <w:pPr>
        <w:pStyle w:val="TextBody"/>
        <w:bidi w:val="0"/>
        <w:spacing w:lineRule="auto" w:line="288" w:before="0" w:after="160"/>
        <w:ind w:left="0" w:right="0" w:hanging="360"/>
        <w:jc w:val="left"/>
        <w:rPr/>
      </w:pPr>
      <w:r>
        <w:rPr>
          <w:rFonts w:ascii="Arial;sans-serif" w:hAnsi="Arial;sans-serif"/>
          <w:b w:val="false"/>
          <w:color w:val="000000"/>
          <w:sz w:val="20"/>
        </w:rPr>
        <w:t xml:space="preserve">(d)the description of the Registrant’s common stock set forth in the Registrant’s registration statement on Form 8-A (File No. 001-43475), filed by the Registrant with the SEC under Section 12(b) of the Securities Exchange Act of 1934, as amended (the “Exchange Act”), on </w:t>
      </w:r>
      <w:hyperlink r:id="rId9">
        <w:r>
          <w:rPr>
            <w:rStyle w:val="InternetLink"/>
            <w:rFonts w:ascii="Arial;sans-serif" w:hAnsi="Arial;sans-serif"/>
            <w:b w:val="false"/>
            <w:color w:val="0000FF"/>
            <w:sz w:val="20"/>
            <w:u w:val="single"/>
          </w:rPr>
          <w:t>September 15, 2026</w:t>
        </w:r>
      </w:hyperlink>
      <w:r>
        <w:rPr>
          <w:rFonts w:ascii="Arial;sans-serif" w:hAnsi="Arial;sans-serif"/>
          <w:b w:val="false"/>
          <w:color w:val="000000"/>
          <w:sz w:val="20"/>
        </w:rPr>
        <w:t xml:space="preserve">, including any amendments or reports filed for the purpose of updating such description. </w:t>
      </w:r>
    </w:p>
    <w:p>
      <w:pPr>
        <w:pStyle w:val="TextBody"/>
        <w:bidi w:val="0"/>
        <w:spacing w:lineRule="auto" w:line="288" w:before="0" w:after="160"/>
        <w:jc w:val="left"/>
        <w:rPr/>
      </w:pPr>
      <w:r>
        <w:rPr>
          <w:rFonts w:ascii="Arial;sans-serif" w:hAnsi="Arial;sans-serif"/>
          <w:b w:val="false"/>
          <w:color w:val="000000"/>
          <w:sz w:val="20"/>
        </w:rPr>
        <w:t xml:space="preserve">In addition, all documents filed by the Registrant pursuant to Sections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w:t>
      </w:r>
      <w:r>
        <w:rPr>
          <w:rFonts w:ascii="Arial;sans-serif" w:hAnsi="Arial;sans-serif"/>
          <w:b w:val="false"/>
          <w:i/>
          <w:color w:val="000000"/>
          <w:sz w:val="20"/>
        </w:rPr>
        <w:t>provided</w:t>
      </w:r>
      <w:r>
        <w:rPr>
          <w:color w:val="000000"/>
        </w:rPr>
        <w:t xml:space="preserve"> </w:t>
      </w:r>
      <w:r>
        <w:rPr>
          <w:rFonts w:ascii="Arial;sans-serif" w:hAnsi="Arial;sans-serif"/>
          <w:b w:val="false"/>
          <w:color w:val="000000"/>
          <w:sz w:val="20"/>
        </w:rPr>
        <w:t xml:space="preserve">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Under no circumstances shall any information furnished under Item 2.02 or 7.01 of Form 8-K be deemed incorporated herein by reference unless such Form 8-K expressly provides to the contrary.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 xml:space="preserve">Item 4. Description of Securities.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See the description of the Registrant’s common stock set forth in the Registrant’s registration statement on Form S-1, as amended (Registration No. No. 333-298453).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 xml:space="preserve">Item 5. Interests of Named Experts and Counsel.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II-1</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 xml:space="preserve">Item 6. Indemnification of Directors and Officers.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Registrant is governed by the Texas Business Organizations Code (the “TBOC”). The TBOC permits a corporation to indemnify a director who was, is or is threatened to be a named defendant or respondent in a proceeding as a result of the performance of his or her duties if such person acted in good faith and, in the case of conduct in the person’s official capacity as a director, in a manner he or she reasonably believed to be in the best interests of the corporation and, in all other cases, that the person reasonably believed his or her conduct was not opposed to the best interests of the corporation and, with respect to any criminal proceeding, that such person had no reasonable cause to believe his or her conduct was unlawful. Subject to certain exceptions, Section 7.001 of the TBOC further permits a corporation to eliminate in its certificate of formation all monetary liability of the corporation’s directors and officers to the corporation or its shareholders for conduct in performance of such director’s or officer’s duties, but not for a breach of the director’s or officer’s duty of loyalty or receipt of an improper benefit. The Registrant’s amended and restated certificate of formation will provide that a director or officer of the corporation will not be liable to the corporation or its shareholders for monetary damages for any act or omission by such person in the performance of his or her duties, except that there will be no limitation of liability to the extent the director or officer has been found liable under applicable law for: (i) breach of such person’s duty of loyalty owed to the corporation or its shareholders; (ii) an act or omission not in good faith that constitutes a breach of duty of such person to the corporation or that involves intentional misconduct or a knowing violation of the law; (iii) a transaction from which such person received an improper benefit, regardless of whether the benefit resulted from an action taken within the scope of such person’s duties; or (iv) an act or omission for which the liability of such person is expressly provided by an applicable statute.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Sections 8.101 and 8.103 of the TBOC provide that a corporation may indemnify a person who was, is or is threatened to be a named defendant or respondent in a proceeding because the person is or was a director only if a determination is made that such indemnification is permissible under the TBOC: (i) by a majority vote of the directors who at the time of the vote are disinterested and independent, regardless of whether such directors constitute a quorum; (ii) by a majority vote of a board committee designated by a majority of disinterested and independent directors and consisting solely of disinterested and independent directors; (iii) by special legal counsel selected by the board of directors or a committee of the board of directors as set forth in (i) or (ii); (iv) by the shareholders in a vote that excludes the shares held by directors who are not disinterested and independent; or (v) by a unanimous vote of the shareholders.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Section 8.104 of the TBOC provides that the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or her good faith belief that he or she has met the standard of conduct necessary for indemnification under Section 8.101 and a written undertaking by or on behalf of the director to repay the amount paid or reimbursed if it is ultimately determined that he or she has not met that standard or if it is ultimately determined that indemnification of the director is prohibited by Section 8.102 of the TBOC. Section 8.105 also provides that reasonable expenses incurred by a former director, or a present or former employee, agent, or officer of the corporation, who was, is or is threatened to be made a named defendant or respondent in a proceeding may be paid or reimbursed by the corporation, in advance of the final disposition of the action, as the corporation considers appropriate.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Section 8.105 of the TBOC provides that, subject to restrictions in its certificate of formation and to the extent consistent with other law, a corporation may indemnify and advance expenses to a person who is not a director, including an officer, employee, or agent of the corporation as provided by: (i) the corporation’s governing documents; (ii) an action by the corporation’s governing authority; (iii) resolution by the shareholders; (iv) contract; or (v) common law. Pursuant to Section 8.105, persons who are not directors, including officers, may seek indemnification and advancement of expenses from a corporation to the same extent that directors may seek indemnification and advancement of expenses from a corporation.</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Section 8.051 of the TBOC provides that a corporation shall indemnify a director against reasonable expenses actually incurred by the director in connection with a proceeding in which the director is a respondent if the director is wholly successful, on the merits or otherwise, in the defense of the proceeding. Section 8.052 of the TBOC also permits a court to order indemnification to the extent the court determines that the person is fairly and reasonably entitled to indemnification in view of all the relevant circumstances.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Further, the Registrant’s amended and restated certificate of formation and amended and restated bylaws will provide that the Registrant must indemnify its directors and officers to the fullest extent authorized by law. The Registrant is also expressly required to advance certain expenses to its directors and officers, except for claims brought by the Registrant. Pursuant to Section 8.151 of the TBOC, the Registrant may also purchase and maintain insurance, at its expense, on behalf of any existing or former director, officer, employee or agent against any liability asserted against and incurred by that person in such capacity, or arising out of that person’s status in such capacity, without regard to whether the Registrant would have the power to indemnify such person against that liability under Chapter 8 of the TBOC. The Registrant believes that these indemnification provisions and the directors’ and officers’ insurance are useful to attract and retain qualified directors and executive officers.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Registrant has also entered into, or will enter into prior to the completion of its initial public offering, indemnification agreements with each of its directors and executive officers. The indemnification agreements provide, or will provide, among other things, for indemnification to the fullest extent permitted by the TBOC and the Registrant’s amended and restated certificate of formation and amended and restated bylaws against (i) any and all direct and indirect liabilities and reasonable expenses, including judgments, fines, penalties, interest, and amounts paid in settlement of any claim with the Registrant’s approval and reasonable counsel fees and disbursements and (ii) any liabilities incurred as a result of serving as a director, officer, employee, or agent (including as a trustee, fiduciary, partner, or manager or in a similar capacity) of another enterprise or an employee benefit plan at the Registrant’s request. The indemnification agreements also provide for, or will provide for, the advancement or payment of expenses to the indemnitee and for reimbursement to the Registrant if it is found that such indemnitee is not entitled to such indemnification under applicable law and the Registrant’s amended and restated certificate of formation and amended and restated bylaws or the terms of the indemnification agreements.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 The underwriting agreement provides for indemnification by the underwriters of the Registrant and its officers and directors, and by the Registrant of the underwriters, for certain liabilities arising under the Securities Act or otherwise in connection with the Registrant’s initial public offering.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Insofar as indemnification for liabilities arising under the Securities Act may be permitted to directors, officers, or persons controlling the Registrant under any of the foregoing provisions, in the opinion of the SEC,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 xml:space="preserve">Item 7. Exemption from Registration Claimed.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1492"/>
        <w:gridCol w:w="1382"/>
        <w:gridCol w:w="1388"/>
        <w:gridCol w:w="109"/>
        <w:gridCol w:w="109"/>
        <w:gridCol w:w="109"/>
        <w:gridCol w:w="161"/>
        <w:gridCol w:w="161"/>
        <w:gridCol w:w="163"/>
        <w:gridCol w:w="109"/>
        <w:gridCol w:w="109"/>
        <w:gridCol w:w="109"/>
        <w:gridCol w:w="297"/>
        <w:gridCol w:w="297"/>
        <w:gridCol w:w="302"/>
        <w:gridCol w:w="109"/>
        <w:gridCol w:w="109"/>
        <w:gridCol w:w="109"/>
        <w:gridCol w:w="185"/>
        <w:gridCol w:w="185"/>
        <w:gridCol w:w="186"/>
        <w:gridCol w:w="109"/>
        <w:gridCol w:w="109"/>
        <w:gridCol w:w="109"/>
        <w:gridCol w:w="255"/>
        <w:gridCol w:w="221"/>
        <w:gridCol w:w="223"/>
        <w:gridCol w:w="109"/>
        <w:gridCol w:w="109"/>
        <w:gridCol w:w="109"/>
        <w:gridCol w:w="211"/>
        <w:gridCol w:w="211"/>
        <w:gridCol w:w="307"/>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Filed</w:t>
              <w:br/>
              <w:t>Herewith</w:t>
            </w:r>
          </w:p>
        </w:tc>
      </w:tr>
      <w:tr>
        <w:trPr/>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sx8.htm">
              <w:r>
                <w:rPr>
                  <w:rStyle w:val="InternetLink"/>
                  <w:rFonts w:ascii="Arial;sans-serif" w:hAnsi="Arial;sans-serif"/>
                  <w:b w:val="false"/>
                  <w:color w:val="000080"/>
                  <w:sz w:val="18"/>
                  <w:u w:val="single"/>
                </w:rPr>
                <w:t>Amended and Restated Certificate of Formation of Orion180 Insurance Group Inc.</w:t>
              </w:r>
            </w:hyperlink>
            <w:hyperlink w:anchor="exhibit31-sx8.htm">
              <w:r>
                <w:rPr>
                  <w:rStyle w:val="InternetLink"/>
                  <w:rFonts w:ascii="Arial;sans-serif" w:hAnsi="Arial;sans-serif"/>
                  <w:b w:val="false"/>
                  <w:color w:val="000080"/>
                  <w:sz w:val="18"/>
                  <w:u w:val="single"/>
                </w:rPr>
                <w: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sx8.htm">
              <w:r>
                <w:rPr>
                  <w:rStyle w:val="InternetLink"/>
                  <w:rFonts w:ascii="Arial;sans-serif" w:hAnsi="Arial;sans-serif"/>
                  <w:b w:val="false"/>
                  <w:color w:val="000080"/>
                  <w:sz w:val="18"/>
                  <w:u w:val="single"/>
                </w:rPr>
                <w:t>Amended and Restated Bylaws of Orion180 Insurance Group Inc.</w:t>
              </w:r>
            </w:hyperlink>
            <w:hyperlink w:anchor="exhibit32-sx8.htm">
              <w:r>
                <w:rPr>
                  <w:rStyle w:val="InternetLink"/>
                  <w:rFonts w:ascii="Arial;sans-serif" w:hAnsi="Arial;sans-serif"/>
                  <w:b w:val="false"/>
                  <w:color w:val="000080"/>
                  <w:sz w:val="18"/>
                  <w:u w:val="single"/>
                </w:rPr>
                <w: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Specimen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333-298453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8.htm">
              <w:r>
                <w:rPr>
                  <w:rStyle w:val="InternetLink"/>
                  <w:rFonts w:ascii="Arial;sans-serif" w:hAnsi="Arial;sans-serif"/>
                  <w:b w:val="false"/>
                  <w:color w:val="0000FF"/>
                  <w:sz w:val="18"/>
                  <w:u w:val="single"/>
                </w:rPr>
                <w:t>Opinion of Latham &amp; Watkins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Equity Incentive Plan of the Registrant, effective as of August 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333-298453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8"/>
                  <w:u w:val="single"/>
                </w:rPr>
                <w:t>2026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333-298453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8.htm">
              <w:r>
                <w:rPr>
                  <w:rStyle w:val="InternetLink"/>
                  <w:rFonts w:ascii="Arial;sans-serif" w:hAnsi="Arial;sans-serif"/>
                  <w:b w:val="false"/>
                  <w:color w:val="0000FF"/>
                  <w:sz w:val="18"/>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333-298453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8.htm">
              <w:r>
                <w:rPr>
                  <w:rStyle w:val="InternetLink"/>
                  <w:rFonts w:ascii="Arial;sans-serif" w:hAnsi="Arial;sans-serif"/>
                  <w:b w:val="false"/>
                  <w:color w:val="0000FF"/>
                  <w:sz w:val="18"/>
                  <w:u w:val="single"/>
                </w:rPr>
                <w:t>Consent of Latham &amp; Watkins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333-298453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d469caf0d34fe38092f70a53fb6a71_34">
              <w:r>
                <w:rPr>
                  <w:rStyle w:val="InternetLink"/>
                  <w:rFonts w:ascii="Arial;sans-serif" w:hAnsi="Arial;sans-serif"/>
                  <w:b w:val="false"/>
                  <w:color w:val="0000FF"/>
                  <w:sz w:val="18"/>
                  <w:u w:val="single"/>
                </w:rPr>
                <w:t>Power of Attorney (see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333-298453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rion180s8fees.htm">
              <w:r>
                <w:rPr>
                  <w:rStyle w:val="InternetLink"/>
                  <w:rFonts w:ascii="Arial;sans-serif" w:hAnsi="Arial;sans-serif"/>
                  <w:b w:val="false"/>
                  <w:color w:val="0000FF"/>
                  <w:sz w:val="18"/>
                  <w:u w:val="single"/>
                </w:rPr>
                <w:t>Calculation of 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333-298453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 xml:space="preserve">Item 9. Undertakings. </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 xml:space="preserve">(a)The undersigned Registrant hereby undertakes: </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 xml:space="preserve">(1)To file, during any period in which offers or sales are being made, a post-effective amendment to this registration statement, </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 xml:space="preserve">(i)to include any prospectus required by Section 10(a)(3) of the Securities Act; </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 xml:space="preserve">(ii)to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table in the effective registration statement; and </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 xml:space="preserve">(iii)to include any material information with respect to the plan of distribution not previously disclosed in this registration statement or any material change to such information in this registration statement; </w:t>
      </w:r>
    </w:p>
    <w:p>
      <w:pPr>
        <w:pStyle w:val="TextBody"/>
        <w:bidi w:val="0"/>
        <w:spacing w:lineRule="auto" w:line="288" w:before="0" w:after="160"/>
        <w:jc w:val="left"/>
        <w:rPr/>
      </w:pPr>
      <w:r>
        <w:rPr>
          <w:rFonts w:ascii="Arial;sans-serif" w:hAnsi="Arial;sans-serif"/>
          <w:b w:val="false"/>
          <w:i/>
          <w:color w:val="000000"/>
          <w:sz w:val="20"/>
        </w:rPr>
        <w:t>provided, however,</w:t>
      </w:r>
      <w:r>
        <w:rPr>
          <w:color w:val="000000"/>
        </w:rPr>
        <w:t xml:space="preserve"> </w:t>
      </w:r>
      <w:r>
        <w:rPr>
          <w:rFonts w:ascii="Arial;sans-serif" w:hAnsi="Arial;sans-serif"/>
          <w:b w:val="false"/>
          <w:color w:val="000000"/>
          <w:sz w:val="20"/>
        </w:rPr>
        <w:t>that paragraphs (a)(1)(i) and (a)(1)(ii) do not apply if this registration statement is on Form S-8 and the information required to be included in a post-effective amendment by those paragraphs is contained in periodic reports filed with or furnished to the SEC by the Registrant pursuant to Section 13 or Section 15(d) of the Exchange Act that are incorporated by reference in this registration statement.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 xml:space="preserve">(2)That, for the purpose of determining any liability under the Securities Act, each such post-effective amendment shall be deemed to be a new registration statement relating to the securities offered </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therein, and the offering of such securities at that time shall be deemed to be the initial bona fide offering thereof. </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 xml:space="preserve">(3)To remove from registration by means of a post-effective amendment any of the securities being registered which remain unsold at the termination of the offering. </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 xml:space="preserve">(h)Insofar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II-5</w:t>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Melbourne, Florida, on September 21, 2026. </w:t>
      </w:r>
    </w:p>
    <w:tbl>
      <w:tblPr>
        <w:tblW w:w="3849" w:type="dxa"/>
        <w:jc w:val="left"/>
        <w:tblInd w:w="0" w:type="dxa"/>
        <w:tblLayout w:type="fixed"/>
        <w:tblCellMar>
          <w:top w:w="28" w:type="dxa"/>
          <w:left w:w="28" w:type="dxa"/>
          <w:bottom w:w="28" w:type="dxa"/>
          <w:right w:w="28" w:type="dxa"/>
        </w:tblCellMar>
      </w:tblPr>
      <w:tblGrid>
        <w:gridCol w:w="124"/>
        <w:gridCol w:w="109"/>
        <w:gridCol w:w="109"/>
        <w:gridCol w:w="546"/>
        <w:gridCol w:w="546"/>
        <w:gridCol w:w="546"/>
        <w:gridCol w:w="546"/>
        <w:gridCol w:w="546"/>
        <w:gridCol w:w="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ORION180 INSURANCE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Kenneth Gregg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Kenneth Gregg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II-6</w:t>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 xml:space="preserve">SIGNATURES AND POWER OF ATTORNEY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the undersigned officers and directors of Orion180 Insurance Group Inc., hereby severally constitute and appoint Kenneth Gregg and Christoph Birchler, and each of them and any of whom may act without joinder of the other, the individual’s true and lawful attorneys in fact and agents, each with full power of substitution and resubstituting, for the person and in his or her name, place and stead,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connection therewith, as fully to all intents and purposes as he or she might or could do in person, hereby ratifying and confirming all that said attorneys in fact and agents or any of them, or their or his substitute or substitutes, may lawfully do or cause to be done by virtue hereof.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Act of 1933, this registration statement has been signed by the following persons in the capacities held on the dates indicated. </w:t>
      </w:r>
    </w:p>
    <w:tbl>
      <w:tblPr>
        <w:tblW w:w="8706" w:type="dxa"/>
        <w:jc w:val="left"/>
        <w:tblInd w:w="0" w:type="dxa"/>
        <w:tblLayout w:type="fixed"/>
        <w:tblCellMar>
          <w:top w:w="28" w:type="dxa"/>
          <w:left w:w="28" w:type="dxa"/>
          <w:bottom w:w="28" w:type="dxa"/>
          <w:right w:w="28" w:type="dxa"/>
        </w:tblCellMar>
      </w:tblPr>
      <w:tblGrid>
        <w:gridCol w:w="824"/>
        <w:gridCol w:w="725"/>
        <w:gridCol w:w="730"/>
        <w:gridCol w:w="109"/>
        <w:gridCol w:w="109"/>
        <w:gridCol w:w="109"/>
        <w:gridCol w:w="1284"/>
        <w:gridCol w:w="1284"/>
        <w:gridCol w:w="1301"/>
        <w:gridCol w:w="109"/>
        <w:gridCol w:w="109"/>
        <w:gridCol w:w="109"/>
        <w:gridCol w:w="554"/>
        <w:gridCol w:w="554"/>
        <w:gridCol w:w="796"/>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w:t>
            </w:r>
          </w:p>
        </w:tc>
      </w:tr>
      <w:tr>
        <w:trPr/>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Kenneth Gregg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Chief Executive Officer and 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21,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Kenneth Gregg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Christoph Birchler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21,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Christoph Birchler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Kevin Bollinger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21,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Kevin Bollinger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Samir Deshpande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21,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Samir Deshpande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Robert V. Deutsch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21,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Robert V. Deutsch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Lawrence E. McAlee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21,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Lawrence E. McAlee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Kernan “Kip” Oberting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21, 2026</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Kernan “Kip” Oberting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orion180s8fees.htm"/>
      <w:bookmarkStart w:id="1" w:name="ksorion180s8fees"/>
      <w:bookmarkStart w:id="2" w:name="orion180s8fees.htm"/>
      <w:bookmarkStart w:id="3" w:name="ksorion180s8fees"/>
      <w:bookmarkEnd w:id="2"/>
      <w:bookmarkEnd w:id="3"/>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II-7</w:t>
                      </w:r>
                    </w:p>
                  </w:txbxContent>
                </v:textbox>
                <w10:wrap type="none"/>
              </v:rect>
            </w:pict>
          </mc:Fallback>
        </mc:AlternateContent>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Orion180 Insurance Group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6"/>
        <w:gridCol w:w="1207"/>
        <w:gridCol w:w="1276"/>
        <w:gridCol w:w="1186"/>
        <w:gridCol w:w="1157"/>
        <w:gridCol w:w="1666"/>
        <w:gridCol w:w="1126"/>
        <w:gridCol w:w="1400"/>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7"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0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Class A common stock issuable upon the exercise of outstanding stock options under the Registrant's Equity Incentive Plan of Orion180 Group, Inc. (the "2024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810,353 </w:t>
            </w:r>
          </w:p>
        </w:tc>
        <w:tc>
          <w:tcPr>
            <w:tcW w:w="1157" w:type="dxa"/>
            <w:tcBorders/>
            <w:shd w:fill="E7E7E2" w:val="clear"/>
            <w:vAlign w:val="center"/>
          </w:tcPr>
          <w:p>
            <w:pPr>
              <w:pStyle w:val="TableContents"/>
              <w:bidi w:val="0"/>
              <w:spacing w:before="0" w:after="283"/>
              <w:jc w:val="right"/>
              <w:rPr/>
            </w:pPr>
            <w:r>
              <w:rPr/>
              <w:t xml:space="preserve">$ 2.88 </w:t>
            </w:r>
          </w:p>
        </w:tc>
        <w:tc>
          <w:tcPr>
            <w:tcW w:w="1666" w:type="dxa"/>
            <w:tcBorders/>
            <w:shd w:fill="E7E7E2" w:val="clear"/>
            <w:vAlign w:val="center"/>
          </w:tcPr>
          <w:p>
            <w:pPr>
              <w:pStyle w:val="TableContents"/>
              <w:bidi w:val="0"/>
              <w:spacing w:before="0" w:after="283"/>
              <w:jc w:val="right"/>
              <w:rPr/>
            </w:pPr>
            <w:r>
              <w:rPr/>
              <w:t xml:space="preserve">$ 2,333,816.64 </w:t>
            </w:r>
          </w:p>
        </w:tc>
        <w:tc>
          <w:tcPr>
            <w:tcW w:w="1126" w:type="dxa"/>
            <w:tcBorders/>
            <w:shd w:fill="E7E7E2" w:val="clear"/>
            <w:vAlign w:val="center"/>
          </w:tcPr>
          <w:p>
            <w:pPr>
              <w:pStyle w:val="TableContents"/>
              <w:bidi w:val="0"/>
              <w:spacing w:before="0" w:after="283"/>
              <w:jc w:val="right"/>
              <w:rPr/>
            </w:pPr>
            <w:r>
              <w:rPr/>
              <w:t xml:space="preserve">0.0001381 </w:t>
            </w:r>
          </w:p>
        </w:tc>
        <w:tc>
          <w:tcPr>
            <w:tcW w:w="1400" w:type="dxa"/>
            <w:tcBorders/>
            <w:shd w:fill="E7E7E2" w:val="clear"/>
            <w:vAlign w:val="center"/>
          </w:tcPr>
          <w:p>
            <w:pPr>
              <w:pStyle w:val="TableContents"/>
              <w:bidi w:val="0"/>
              <w:spacing w:before="0" w:after="283"/>
              <w:jc w:val="right"/>
              <w:rPr/>
            </w:pPr>
            <w:r>
              <w:rPr/>
              <w:t xml:space="preserve">$ 322.30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Class A common stock reserved for issuance pursuant to awards under the Registrant's 2026 Incentive Plan (the "2026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5,480,967 </w:t>
            </w:r>
          </w:p>
        </w:tc>
        <w:tc>
          <w:tcPr>
            <w:tcW w:w="1157" w:type="dxa"/>
            <w:tcBorders/>
            <w:shd w:fill="E7E7E2" w:val="clear"/>
            <w:vAlign w:val="center"/>
          </w:tcPr>
          <w:p>
            <w:pPr>
              <w:pStyle w:val="TableContents"/>
              <w:bidi w:val="0"/>
              <w:spacing w:before="0" w:after="283"/>
              <w:jc w:val="right"/>
              <w:rPr/>
            </w:pPr>
            <w:r>
              <w:rPr/>
              <w:t xml:space="preserve">$ 12.00 </w:t>
            </w:r>
          </w:p>
        </w:tc>
        <w:tc>
          <w:tcPr>
            <w:tcW w:w="1666" w:type="dxa"/>
            <w:tcBorders/>
            <w:shd w:fill="E7E7E2" w:val="clear"/>
            <w:vAlign w:val="center"/>
          </w:tcPr>
          <w:p>
            <w:pPr>
              <w:pStyle w:val="TableContents"/>
              <w:bidi w:val="0"/>
              <w:spacing w:before="0" w:after="283"/>
              <w:jc w:val="right"/>
              <w:rPr/>
            </w:pPr>
            <w:r>
              <w:rPr/>
              <w:t xml:space="preserve">$ 65,771,604.00 </w:t>
            </w:r>
          </w:p>
        </w:tc>
        <w:tc>
          <w:tcPr>
            <w:tcW w:w="1126" w:type="dxa"/>
            <w:tcBorders/>
            <w:shd w:fill="E7E7E2" w:val="clear"/>
            <w:vAlign w:val="center"/>
          </w:tcPr>
          <w:p>
            <w:pPr>
              <w:pStyle w:val="TableContents"/>
              <w:bidi w:val="0"/>
              <w:spacing w:before="0" w:after="283"/>
              <w:jc w:val="right"/>
              <w:rPr/>
            </w:pPr>
            <w:r>
              <w:rPr/>
              <w:t xml:space="preserve">0.0001381 </w:t>
            </w:r>
          </w:p>
        </w:tc>
        <w:tc>
          <w:tcPr>
            <w:tcW w:w="1400" w:type="dxa"/>
            <w:tcBorders/>
            <w:shd w:fill="E7E7E2" w:val="clear"/>
            <w:vAlign w:val="center"/>
          </w:tcPr>
          <w:p>
            <w:pPr>
              <w:pStyle w:val="TableContents"/>
              <w:bidi w:val="0"/>
              <w:spacing w:before="0" w:after="283"/>
              <w:jc w:val="right"/>
              <w:rPr/>
            </w:pPr>
            <w:r>
              <w:rPr/>
              <w:t xml:space="preserve">$ 9,083.06 </w:t>
            </w:r>
          </w:p>
        </w:tc>
      </w:tr>
      <w:tr>
        <w:trPr/>
        <w:tc>
          <w:tcPr>
            <w:tcW w:w="4856" w:type="dxa"/>
            <w:gridSpan w:val="5"/>
            <w:tcBorders/>
            <w:vAlign w:val="center"/>
          </w:tcPr>
          <w:p>
            <w:pPr>
              <w:pStyle w:val="TableContents"/>
              <w:bidi w:val="0"/>
              <w:spacing w:before="0" w:after="0"/>
              <w:ind w:left="0" w:right="0" w:hanging="0"/>
              <w:jc w:val="right"/>
              <w:rPr/>
            </w:pPr>
            <w:r>
              <w:rPr/>
              <w:t>Total Offering Amounts:</w:t>
            </w:r>
          </w:p>
        </w:tc>
        <w:tc>
          <w:tcPr>
            <w:tcW w:w="115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 w:name="MaxAggtOfferingPrice"/>
            <w:bookmarkEnd w:id="4"/>
            <w:r>
              <w:rPr/>
              <w:t xml:space="preserve">$ 68,105,420.64 </w:t>
            </w:r>
          </w:p>
        </w:tc>
        <w:tc>
          <w:tcPr>
            <w:tcW w:w="1126" w:type="dxa"/>
            <w:tcBorders/>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$ 9,405.36 </w:t>
            </w:r>
          </w:p>
        </w:tc>
      </w:tr>
      <w:tr>
        <w:trPr/>
        <w:tc>
          <w:tcPr>
            <w:tcW w:w="4856" w:type="dxa"/>
            <w:gridSpan w:val="5"/>
            <w:tcBorders/>
            <w:vAlign w:val="center"/>
          </w:tcPr>
          <w:p>
            <w:pPr>
              <w:pStyle w:val="TableContents"/>
              <w:bidi w:val="0"/>
              <w:spacing w:before="0" w:after="0"/>
              <w:ind w:left="0" w:right="0" w:hanging="0"/>
              <w:jc w:val="right"/>
              <w:rPr/>
            </w:pPr>
            <w:r>
              <w:rPr/>
              <w:t xml:space="preserve">Total Fee Offsets: </w:t>
            </w:r>
          </w:p>
        </w:tc>
        <w:tc>
          <w:tcPr>
            <w:tcW w:w="115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856" w:type="dxa"/>
            <w:gridSpan w:val="5"/>
            <w:tcBorders/>
            <w:vAlign w:val="center"/>
          </w:tcPr>
          <w:p>
            <w:pPr>
              <w:pStyle w:val="TableContents"/>
              <w:bidi w:val="0"/>
              <w:spacing w:before="0" w:after="0"/>
              <w:ind w:left="0" w:right="0" w:hanging="0"/>
              <w:jc w:val="right"/>
              <w:rPr/>
            </w:pPr>
            <w:r>
              <w:rPr/>
              <w:t xml:space="preserve">Net Fee Due: </w:t>
            </w:r>
          </w:p>
        </w:tc>
        <w:tc>
          <w:tcPr>
            <w:tcW w:w="115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0"/>
              <w:ind w:left="0" w:right="0" w:hanging="0"/>
              <w:jc w:val="right"/>
              <w:rPr/>
            </w:pPr>
            <w:bookmarkStart w:id="7" w:name="NetFeeAmt"/>
            <w:bookmarkEnd w:id="7"/>
            <w:r>
              <w:rPr/>
              <w:t xml:space="preserve">$ 9,405.36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Pursuant to Rule 416(a) under the Securities Act of 1933, as amended (the "Securities Act"), this registration statement shall also cover any additional shares of common stock that become issuable under the above-named plans, by reason of any stock dividend, stock split, recapitalization, or other similar transaction effected without receipt of consideration that results in an increase to the number of outstanding shares of common stock, as applicable. B. Represents 810,353 shares of the Registrant's Class A common stock issuable upon the exercise of outstanding stock options granted under the 2024 Plan, at a weighted-average exercise price of $2.88 per share. C. Estimated solely for the purpose of calculating the registration fee in accordance with Rule 457 under the Securities Act. The proposed maximum offering price per share and the proposed maximum aggregate offering price are based on $2.88 per share, which is the weighted-average exercise price of the outstanding stock options granted under the 2024 Plan being registered.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See note 1A. A. Represents 5,480,967 shares of common stock reserved for issuance under the 2026 Plan. The number of shares reserved for issuance or transfer pursuant to awards under the 2026 Plan will be increased by the shares of common stock subject to outstanding awards under the 2024 Plan or 2026 Plan that (i) expire or lapse, or are terminated, exchanged for cash, surrendered, repurchased, or cancelled, in any case, in a manner that results in the Registrant acquiring the underlying shares at a price not greater than the price paid by the participant or not issuing the underlying shares, or (ii) are tendered or withheld to satisfy the grant, exercise price, or tax withholding obligation with respect to any such award. B. Estimated solely for the purpose of calculating the registration fee in accordance with Rule 457(h) under the Securities Act. The proposed maximum offering price per share and the proposed maximum aggregate offering price are based on the initial public offering price of the common stock of $12.00 per share, as set forth in the Registrant's Registration Statement on Form S-1 (File No. 333-298453), as amended, that was declared effective on September 17, 2026.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240"/>
        <w:jc w:val="righ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CERTIFICATE OF FORMATION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ORION180 INSURANCE GROUP INC.</w:t>
      </w:r>
    </w:p>
    <w:p>
      <w:pPr>
        <w:pStyle w:val="TextBody"/>
        <w:bidi w:val="0"/>
        <w:spacing w:lineRule="auto" w:line="333" w:before="0" w:after="240"/>
        <w:ind w:left="0" w:right="0" w:firstLine="720"/>
        <w:jc w:val="both"/>
        <w:rPr/>
      </w:pPr>
      <w:r>
        <w:rPr>
          <w:rFonts w:ascii="Times New Roman;serif" w:hAnsi="Times New Roman;serif"/>
          <w:b w:val="false"/>
          <w:color w:val="000000"/>
          <w:sz w:val="24"/>
        </w:rPr>
        <w:t>Orion180 Insurance Group Inc. (the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 a for-profit corporation organized and existing under and by virtue of the provisions of the Texas Business Organizations Code, as it now exists or may hereinafter be amended from time to time (the “</w:t>
      </w:r>
      <w:r>
        <w:rPr>
          <w:rFonts w:ascii="Times New Roman;serif" w:hAnsi="Times New Roman;serif"/>
          <w:b/>
          <w:i/>
          <w:color w:val="000000"/>
          <w:sz w:val="24"/>
        </w:rPr>
        <w:t>TBOC</w:t>
      </w:r>
      <w:r>
        <w:rPr>
          <w:color w:val="000000"/>
        </w:rPr>
        <w:t>”</w:t>
      </w:r>
      <w:r>
        <w:rPr>
          <w:rFonts w:ascii="Times New Roman;serif" w:hAnsi="Times New Roman;serif"/>
          <w:b w:val="false"/>
          <w:color w:val="000000"/>
          <w:sz w:val="24"/>
        </w:rPr>
        <w:t>), does hereby certify:</w:t>
      </w:r>
    </w:p>
    <w:p>
      <w:pPr>
        <w:pStyle w:val="TextBody"/>
        <w:bidi w:val="0"/>
        <w:spacing w:lineRule="auto" w:line="333" w:before="0" w:after="240"/>
        <w:ind w:left="0" w:right="0" w:firstLine="1080"/>
        <w:jc w:val="both"/>
        <w:rPr/>
      </w:pPr>
      <w:r>
        <w:rPr>
          <w:rFonts w:ascii="Times New Roman;serif" w:hAnsi="Times New Roman;serif"/>
          <w:b/>
          <w:color w:val="000000"/>
          <w:sz w:val="24"/>
        </w:rPr>
        <w:t>FIRST</w:t>
      </w:r>
      <w:r>
        <w:rPr>
          <w:rFonts w:ascii="Times New Roman;serif" w:hAnsi="Times New Roman;serif"/>
          <w:b w:val="false"/>
          <w:color w:val="000000"/>
          <w:sz w:val="24"/>
        </w:rPr>
        <w:t xml:space="preserve">:  The name of the filing entity is Orion180 Insurance Group Inc. The file number issued to the Corporation is 806536399. </w:t>
      </w:r>
    </w:p>
    <w:p>
      <w:pPr>
        <w:pStyle w:val="TextBody"/>
        <w:bidi w:val="0"/>
        <w:spacing w:lineRule="auto" w:line="333" w:before="0" w:after="240"/>
        <w:ind w:left="0" w:right="0" w:firstLine="1080"/>
        <w:jc w:val="both"/>
        <w:rPr/>
      </w:pPr>
      <w:r>
        <w:rPr>
          <w:rFonts w:ascii="Times New Roman;serif" w:hAnsi="Times New Roman;serif"/>
          <w:b/>
          <w:color w:val="000000"/>
          <w:sz w:val="24"/>
        </w:rPr>
        <w:t>SECOND</w:t>
      </w:r>
      <w:r>
        <w:rPr>
          <w:rFonts w:ascii="Times New Roman;serif" w:hAnsi="Times New Roman;serif"/>
          <w:b w:val="false"/>
          <w:color w:val="000000"/>
          <w:sz w:val="24"/>
        </w:rPr>
        <w:t>:  The Corporation was initially formed in Texas on April 8, 2026, pursuant to a plan of conversion, under which Orion 180 Group, Inc., a Florida for-profit corporation, converted into the Corporation. The converting entity was initially incorporated in Florida on August 11, 2020.</w:t>
      </w:r>
    </w:p>
    <w:p>
      <w:pPr>
        <w:pStyle w:val="TextBody"/>
        <w:bidi w:val="0"/>
        <w:spacing w:lineRule="auto" w:line="333" w:before="0" w:after="240"/>
        <w:ind w:left="0" w:right="0" w:firstLine="1080"/>
        <w:jc w:val="both"/>
        <w:rPr/>
      </w:pPr>
      <w:r>
        <w:rPr>
          <w:rFonts w:ascii="Times New Roman;serif" w:hAnsi="Times New Roman;serif"/>
          <w:b/>
          <w:color w:val="000000"/>
          <w:sz w:val="24"/>
        </w:rPr>
        <w:t>THIRD</w:t>
      </w:r>
      <w:r>
        <w:rPr>
          <w:rFonts w:ascii="Times New Roman;serif" w:hAnsi="Times New Roman;serif"/>
          <w:b w:val="false"/>
          <w:color w:val="000000"/>
          <w:sz w:val="24"/>
        </w:rPr>
        <w:t xml:space="preserve">:  The Amended and Restated Certificate of Formation in the form attached hereto as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Restated Certificate</w:t>
      </w:r>
      <w:r>
        <w:rPr>
          <w:color w:val="000000"/>
        </w:rPr>
        <w:t>”</w:t>
      </w:r>
      <w:r>
        <w:rPr>
          <w:rFonts w:ascii="Times New Roman;serif" w:hAnsi="Times New Roman;serif"/>
          <w:b w:val="false"/>
          <w:color w:val="000000"/>
          <w:sz w:val="24"/>
        </w:rPr>
        <w:t>), accurately states the text of the certificate of formation being restated, and each amendment to the certificate of formation being restated that is in effect, as further amended by the Restated Certificate. The Restated Certificate does not contain any other change in the certificate of formation being restated except for the information permitted to be omitted by the provisions of the TBOC applicable to the Corporation.</w:t>
      </w:r>
    </w:p>
    <w:p>
      <w:pPr>
        <w:pStyle w:val="TextBody"/>
        <w:bidi w:val="0"/>
        <w:spacing w:lineRule="auto" w:line="333" w:before="0" w:after="240"/>
        <w:ind w:left="0" w:right="0" w:firstLine="1080"/>
        <w:jc w:val="both"/>
        <w:rPr/>
      </w:pPr>
      <w:r>
        <w:rPr>
          <w:rFonts w:ascii="Times New Roman;serif" w:hAnsi="Times New Roman;serif"/>
          <w:b/>
          <w:color w:val="000000"/>
          <w:sz w:val="24"/>
        </w:rPr>
        <w:t>FOURTH</w:t>
      </w:r>
      <w:r>
        <w:rPr>
          <w:rFonts w:ascii="Times New Roman;serif" w:hAnsi="Times New Roman;serif"/>
          <w:b w:val="false"/>
          <w:color w:val="000000"/>
          <w:sz w:val="24"/>
        </w:rPr>
        <w:t>: Each new amendment has been made in accordance with the provisions of the TBOC. The Restated Certificate and all amendments to the Corporation’s previously filed certificate of formation have been approved in the manner required by the TBOC and by the governing documents of the Corporation.</w:t>
      </w:r>
    </w:p>
    <w:p>
      <w:pPr>
        <w:pStyle w:val="TextBody"/>
        <w:bidi w:val="0"/>
        <w:spacing w:lineRule="auto" w:line="333" w:before="0" w:after="240"/>
        <w:ind w:left="0" w:right="0" w:firstLine="1080"/>
        <w:jc w:val="both"/>
        <w:rPr/>
      </w:pPr>
      <w:r>
        <w:rPr>
          <w:rFonts w:ascii="Times New Roman;serif" w:hAnsi="Times New Roman;serif"/>
          <w:b/>
          <w:color w:val="000000"/>
          <w:sz w:val="24"/>
        </w:rPr>
        <w:t>FIFTH</w:t>
      </w:r>
      <w:r>
        <w:rPr>
          <w:rFonts w:ascii="Times New Roman;serif" w:hAnsi="Times New Roman;serif"/>
          <w:b w:val="false"/>
          <w:color w:val="000000"/>
          <w:sz w:val="24"/>
        </w:rPr>
        <w:t>:  The Restated Certificate takes effect upon the occurrence of a future event or fact, other than the passage of time. The event or fact that will cause the document to take effect is the closing of the initial public offering of the Corporation. The 90th day after the date of signing is December 13, 2026.</w:t>
      </w:r>
    </w:p>
    <w:p>
      <w:pPr>
        <w:pStyle w:val="TextBody"/>
        <w:bidi w:val="0"/>
        <w:spacing w:lineRule="auto" w:line="333"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undersigned affirms that the person designated as registered agent in the Restated Certificate has consented to the appointment. The undersigned signs this document subject to the penalties imposed by law for the submission of a materially false or fraudulent instrument and certifies under penalty of perjury that the undersigned is authorized to execute the filing instrument.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88" w:type="dxa"/>
        <w:jc w:val="left"/>
        <w:tblInd w:w="0" w:type="dxa"/>
        <w:tblLayout w:type="fixed"/>
        <w:tblCellMar>
          <w:top w:w="28" w:type="dxa"/>
          <w:left w:w="28" w:type="dxa"/>
          <w:bottom w:w="28" w:type="dxa"/>
          <w:right w:w="28" w:type="dxa"/>
        </w:tblCellMar>
      </w:tblPr>
      <w:tblGrid>
        <w:gridCol w:w="124"/>
        <w:gridCol w:w="109"/>
        <w:gridCol w:w="109"/>
        <w:gridCol w:w="348"/>
        <w:gridCol w:w="348"/>
        <w:gridCol w:w="348"/>
        <w:gridCol w:w="348"/>
        <w:gridCol w:w="348"/>
        <w:gridCol w:w="348"/>
        <w:gridCol w:w="348"/>
        <w:gridCol w:w="348"/>
        <w:gridCol w:w="348"/>
        <w:gridCol w:w="695"/>
        <w:gridCol w:w="695"/>
        <w:gridCol w:w="10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ORION180 INSURANCE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0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Kenneth Gregg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Kenneth Gregg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0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September 14, 2026</w:t>
            </w:r>
          </w:p>
        </w:tc>
      </w:tr>
    </w:tbl>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333" w:before="0" w:after="240"/>
        <w:ind w:left="0" w:right="0" w:firstLine="720"/>
        <w:jc w:val="both"/>
        <w:rPr/>
      </w:pPr>
      <w:r>
        <w:rPr>
          <w:rFonts w:ascii="Times New Roman;serif" w:hAnsi="Times New Roman;serif"/>
          <w:b w:val="false"/>
          <w:color w:val="000000"/>
          <w:sz w:val="24"/>
        </w:rPr>
        <w:t>The name of this corporation is Orion180 Insurance Group Inc. (the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 The Corporation is a for-profit corporation formed in Texas on April 8, 2026, pursuant to a plan of conversion under which Orion 180 Group, Inc., a Florida for-profit corporation incorporated on August 11, 2020, converted into the Corporation. The converting entity’s address was 930 S. Harbor City Blvd, Suite 302, Melbourne, Florida 32901.</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address of the registered office of the Corporation in the State of Texas is 1999 Bryan Street, Suite 900, Dallas, Texas 75201, and the name of the registered agent at that address is CT Corporation System.</w:t>
      </w:r>
    </w:p>
    <w:p>
      <w:pPr>
        <w:pStyle w:val="TextBody"/>
        <w:bidi w:val="0"/>
        <w:spacing w:lineRule="auto" w:line="333" w:before="0" w:after="240"/>
        <w:jc w:val="center"/>
        <w:rPr/>
      </w:pPr>
      <w:r>
        <w:rPr>
          <w:rFonts w:ascii="Times New Roman;serif" w:hAnsi="Times New Roman;serif"/>
          <w:b/>
          <w:color w:val="000000"/>
          <w:sz w:val="24"/>
        </w:rPr>
        <w:t>ARTICLE III</w:t>
      </w:r>
      <w:r>
        <w:rPr>
          <w:color w:val="000000"/>
        </w:rPr>
        <w:t xml:space="preserve"> </w:t>
      </w:r>
    </w:p>
    <w:p>
      <w:pPr>
        <w:pStyle w:val="TextBody"/>
        <w:bidi w:val="0"/>
        <w:spacing w:lineRule="auto" w:line="333" w:before="0" w:after="240"/>
        <w:ind w:left="0" w:right="0" w:firstLine="720"/>
        <w:jc w:val="both"/>
        <w:rPr/>
      </w:pPr>
      <w:r>
        <w:rPr>
          <w:rFonts w:ascii="Times New Roman;serif" w:hAnsi="Times New Roman;serif"/>
          <w:b w:val="false"/>
          <w:color w:val="000000"/>
          <w:sz w:val="24"/>
        </w:rPr>
        <w:t>The purpose of the Corporation is to engage in any lawful business for which business corporations may be organized under the Texas Business Organizations Code, as it now exists or may hereafter be amended and supplemented (the “</w:t>
      </w:r>
      <w:r>
        <w:rPr>
          <w:rFonts w:ascii="Times New Roman;serif" w:hAnsi="Times New Roman;serif"/>
          <w:b/>
          <w:i/>
          <w:color w:val="000000"/>
          <w:sz w:val="24"/>
        </w:rPr>
        <w:t>TBOC</w:t>
      </w:r>
      <w:r>
        <w:rPr>
          <w:color w:val="000000"/>
        </w:rPr>
        <w:t>”</w:t>
      </w:r>
      <w:r>
        <w:rPr>
          <w:rFonts w:ascii="Times New Roman;serif" w:hAnsi="Times New Roman;serif"/>
          <w:b w:val="false"/>
          <w:color w:val="000000"/>
          <w:sz w:val="24"/>
        </w:rPr>
        <w:t>).</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333" w:before="0" w:after="240"/>
        <w:ind w:left="0" w:right="0" w:firstLine="720"/>
        <w:jc w:val="both"/>
        <w:rPr/>
      </w:pPr>
      <w:r>
        <w:rPr>
          <w:rFonts w:ascii="Times New Roman;serif" w:hAnsi="Times New Roman;serif"/>
          <w:b w:val="false"/>
          <w:color w:val="000000"/>
          <w:sz w:val="24"/>
        </w:rPr>
        <w:t>The total number of shares of all classes of capital stock which the Corporation will have authority to issue is 550,000,000 shares, consisting of (i) 500,000,000 shares of Common Stock, $0.001 par value per share (the “</w:t>
      </w:r>
      <w:r>
        <w:rPr>
          <w:rFonts w:ascii="Times New Roman;serif" w:hAnsi="Times New Roman;serif"/>
          <w:b/>
          <w:i/>
          <w:color w:val="000000"/>
          <w:sz w:val="24"/>
        </w:rPr>
        <w:t>Common Stock”</w:t>
      </w:r>
      <w:r>
        <w:rPr>
          <w:rFonts w:ascii="Times New Roman;serif" w:hAnsi="Times New Roman;serif"/>
          <w:b w:val="false"/>
          <w:color w:val="000000"/>
          <w:sz w:val="24"/>
        </w:rPr>
        <w:t>), of which (a) 400,000,000 shares shall be a series designated as Class A Common Stock (“</w:t>
      </w:r>
      <w:r>
        <w:rPr>
          <w:rFonts w:ascii="Times New Roman;serif" w:hAnsi="Times New Roman;serif"/>
          <w:b/>
          <w:i/>
          <w:color w:val="000000"/>
          <w:sz w:val="24"/>
        </w:rPr>
        <w:t>Class A Common Stock</w:t>
      </w:r>
      <w:r>
        <w:rPr>
          <w:color w:val="000000"/>
        </w:rPr>
        <w:t>”</w:t>
      </w:r>
      <w:r>
        <w:rPr>
          <w:rFonts w:ascii="Times New Roman;serif" w:hAnsi="Times New Roman;serif"/>
          <w:b w:val="false"/>
          <w:color w:val="000000"/>
          <w:sz w:val="24"/>
        </w:rPr>
        <w:t>) and (b) 100,000,000</w:t>
      </w:r>
      <w:r>
        <w:rPr>
          <w:color w:val="000000"/>
        </w:rPr>
        <w:t xml:space="preserve"> </w:t>
      </w:r>
      <w:r>
        <w:rPr>
          <w:rFonts w:ascii="Times New Roman;serif" w:hAnsi="Times New Roman;serif"/>
          <w:b w:val="false"/>
          <w:color w:val="000000"/>
          <w:sz w:val="24"/>
        </w:rPr>
        <w:t>shares shall be a series designated as Class B Common Stock (“</w:t>
      </w:r>
      <w:r>
        <w:rPr>
          <w:rFonts w:ascii="Times New Roman;serif" w:hAnsi="Times New Roman;serif"/>
          <w:b/>
          <w:i/>
          <w:color w:val="000000"/>
          <w:sz w:val="24"/>
        </w:rPr>
        <w:t>Class B Common Stock</w:t>
      </w:r>
      <w:r>
        <w:rPr>
          <w:color w:val="000000"/>
        </w:rPr>
        <w:t>”</w:t>
      </w:r>
      <w:r>
        <w:rPr>
          <w:rFonts w:ascii="Times New Roman;serif" w:hAnsi="Times New Roman;serif"/>
          <w:b w:val="false"/>
          <w:color w:val="000000"/>
          <w:sz w:val="24"/>
        </w:rPr>
        <w:t>) , and (ii) 50,000,000 shares of Preferred Stock, $0.001 par value per share (“</w:t>
      </w:r>
      <w:r>
        <w:rPr>
          <w:rFonts w:ascii="Times New Roman;serif" w:hAnsi="Times New Roman;serif"/>
          <w:b/>
          <w:i/>
          <w:color w:val="000000"/>
          <w:sz w:val="24"/>
        </w:rPr>
        <w:t>Preferred Stock</w:t>
      </w:r>
      <w:r>
        <w:rPr>
          <w:color w:val="000000"/>
        </w:rPr>
        <w:t>”</w:t>
      </w:r>
      <w:r>
        <w:rPr>
          <w:rFonts w:ascii="Times New Roman;serif" w:hAnsi="Times New Roman;serif"/>
          <w:b w:val="false"/>
          <w:color w:val="000000"/>
          <w:sz w:val="24"/>
        </w:rPr>
        <w:t>). For the avoidance of doubt, each of the Class A Common Stock and Class B Common Stock is a series of the class of Common Stock for all purposes, including, without limitation, under the TBOC.</w:t>
      </w:r>
    </w:p>
    <w:p>
      <w:pPr>
        <w:pStyle w:val="TextBody"/>
        <w:bidi w:val="0"/>
        <w:spacing w:lineRule="auto" w:line="333" w:before="0" w:after="240"/>
        <w:ind w:left="0" w:right="0" w:firstLine="720"/>
        <w:jc w:val="both"/>
        <w:rPr/>
      </w:pPr>
      <w:r>
        <w:rPr>
          <w:rFonts w:ascii="Times New Roman;serif" w:hAnsi="Times New Roman;serif"/>
          <w:b w:val="false"/>
          <w:color w:val="000000"/>
          <w:sz w:val="24"/>
        </w:rPr>
        <w:t>Upon the effectiveness of this Amended and Restated Certificate of Formation (such certificate, the “</w:t>
      </w:r>
      <w:r>
        <w:rPr>
          <w:rFonts w:ascii="Times New Roman;serif" w:hAnsi="Times New Roman;serif"/>
          <w:b/>
          <w:i/>
          <w:color w:val="000000"/>
          <w:sz w:val="24"/>
        </w:rPr>
        <w:t>Restated Certificate</w:t>
      </w:r>
      <w:r>
        <w:rPr>
          <w:color w:val="000000"/>
        </w:rPr>
        <w:t xml:space="preserve">” </w:t>
      </w:r>
      <w:r>
        <w:rPr>
          <w:rFonts w:ascii="Times New Roman;serif" w:hAnsi="Times New Roman;serif"/>
          <w:b w:val="false"/>
          <w:color w:val="000000"/>
          <w:sz w:val="24"/>
        </w:rPr>
        <w:t>and such time, the “</w:t>
      </w:r>
      <w:r>
        <w:rPr>
          <w:rFonts w:ascii="Times New Roman;serif" w:hAnsi="Times New Roman;serif"/>
          <w:b/>
          <w:i/>
          <w:color w:val="000000"/>
          <w:sz w:val="24"/>
        </w:rPr>
        <w:t>Effective Time</w:t>
      </w:r>
      <w:r>
        <w:rPr>
          <w:color w:val="000000"/>
        </w:rPr>
        <w:t>”</w:t>
      </w:r>
      <w:r>
        <w:rPr>
          <w:rFonts w:ascii="Times New Roman;serif" w:hAnsi="Times New Roman;serif"/>
          <w:b w:val="false"/>
          <w:color w:val="000000"/>
          <w:sz w:val="24"/>
        </w:rPr>
        <w:t>), each share of Common Stock (as defined in the Corporation’s certificate of formation heretofore in effect (the “</w:t>
      </w:r>
      <w:r>
        <w:rPr>
          <w:rFonts w:ascii="Times New Roman;serif" w:hAnsi="Times New Roman;serif"/>
          <w:b/>
          <w:i/>
          <w:color w:val="000000"/>
          <w:sz w:val="24"/>
        </w:rPr>
        <w:t>Prior Certificate</w:t>
      </w:r>
      <w:r>
        <w:rPr>
          <w:color w:val="000000"/>
        </w:rPr>
        <w:t>”</w:t>
      </w:r>
      <w:r>
        <w:rPr>
          <w:rFonts w:ascii="Times New Roman;serif" w:hAnsi="Times New Roman;serif"/>
          <w:b w:val="false"/>
          <w:color w:val="000000"/>
          <w:sz w:val="24"/>
        </w:rPr>
        <w:t xml:space="preserve">)) issued and outstanding or held in treasury immediately prior to the Effective Time shall, automatically and without further action by any shareholder, be reclassified as, and shall become, one (1) share of Class A Common Stock. Any stock certificate previously representing shares of the Corporation’s Common Stock (as defined in the Prior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shall, from and after the Effective Time, represent the same number of shares of Class A Common Stock, without the need for surrender or exchange thereof.</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number of authorized shares of Class A Common Stock, Class B Common Stock or Preferred Stock may from time to time be increased or decreased (but not below the number of shares thereof then outstanding) by the affirmative vote of a majority of the voting power of all then-outstanding shares of capital stock of the Corporation entitled to vote thereon (or, if the TBOC is amended to authorize corporate action implementing the following voting standard, by the affirmative vote of a majority of the votes cast by the holders of then-outstanding shares of capital stock of the Corporation entitled to vote thereon), unless a vote of any such holder is required pursuant to this Restated Certificate (including any statement of resolution relating to any series of Preferred Stock).</w:t>
      </w:r>
    </w:p>
    <w:p>
      <w:pPr>
        <w:pStyle w:val="TextBody"/>
        <w:bidi w:val="0"/>
        <w:spacing w:lineRule="auto" w:line="333" w:before="0" w:after="240"/>
        <w:ind w:left="0" w:right="0" w:firstLine="720"/>
        <w:jc w:val="both"/>
        <w:rPr/>
      </w:pPr>
      <w:r>
        <w:rPr>
          <w:rFonts w:ascii="Times New Roman;serif" w:hAnsi="Times New Roman;serif"/>
          <w:b w:val="false"/>
          <w:color w:val="000000"/>
          <w:sz w:val="24"/>
        </w:rPr>
        <w:t xml:space="preserve">Except as otherwise required by this Restated Certificate (including any statement of resolution relating to any series of Preferred Stock), and notwithstanding any provision of the TBOC to the contrary, (a) all classes or series of stock are entitled to vote as a single class or series, and separate voting by class or series is not required, for the purpose of approving any matter, including in connection with any “fundamental action” or “fundamental business transaction” as defined in the TBOC, and (b) the approval of a “fundamental action” or “fundamental business transaction” as each such term is defined in the TBOC requires the affirmative vote of the holders of at least a majority of the voting power of all of the outstanding shares of stock entitled to vote thereon, voting together as a single class;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if the TBOC is amended to authorize corporate action implementing the following voting standard, the approval of any such action shall thereafter require the affirmative vote of a majority of the votes cast by the holders of then-outstanding shares of capital stock of the Corporation entitled to vote thereon, voting together as a single class. If, pursuant to the immediately preceding sentence, all classes or series of capital stock of the Corporation are only entitled to vote as a single class, and separate voting by class or series is not required, for the purpose of approving a matter, shares of a class or series of shares that do not otherwise have the right to vote under the Restated Certificate (including any statement of resolution relating to any series of Preferred Stock) shall be treated as having no votes in the vote as a single class on that matter, in accordance with the TBOC.</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designations and the powers, preferences, privileges and rights, and the qualifications, limitations or restrictions thereof in respect of each class and series of capital stock of the Corporation are as follows: </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Common Stock</w:t>
      </w:r>
      <w:r>
        <w:rPr>
          <w:rFonts w:ascii="Times New Roman;serif" w:hAnsi="Times New Roman;serif"/>
          <w:b w:val="false"/>
          <w:color w:val="000000"/>
          <w:sz w:val="24"/>
        </w:rPr>
        <w:t>.</w:t>
      </w:r>
    </w:p>
    <w:p>
      <w:pPr>
        <w:pStyle w:val="TextBody"/>
        <w:bidi w:val="0"/>
        <w:spacing w:lineRule="auto" w:line="333" w:before="0" w:after="240"/>
        <w:ind w:left="0" w:right="0" w:firstLine="144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Equal Status; General</w:t>
      </w:r>
      <w:r>
        <w:rPr>
          <w:rFonts w:ascii="Times New Roman;serif" w:hAnsi="Times New Roman;serif"/>
          <w:b w:val="false"/>
          <w:color w:val="000000"/>
          <w:sz w:val="24"/>
        </w:rPr>
        <w:t xml:space="preserve">. Except as otherwise provided herein or required by law, shares of Class A Common Stock and Class B Common Stock shall have the same rights,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privileges, preferences and powers, rank equally (including as to dividends and distributions, and upon any liquidation, dissolution, distribution of assets or winding up of the Corporation), share ratably and be identical in all respects and as to all matters. The voting, dividend, liquidation and other rights, powers and preferences of the holders of Common Stock are subject to, and qualified by, the rights, powers and preferences of any series of Preferred Stock as may be designated by the Board of Directors of the Corporation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and outstanding from time to time.</w:t>
      </w:r>
    </w:p>
    <w:p>
      <w:pPr>
        <w:pStyle w:val="TextBody"/>
        <w:bidi w:val="0"/>
        <w:spacing w:lineRule="auto" w:line="333" w:before="0" w:after="240"/>
        <w:ind w:left="0" w:right="0" w:firstLine="144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Voting</w:t>
      </w:r>
      <w:r>
        <w:rPr>
          <w:rFonts w:ascii="Times New Roman;serif" w:hAnsi="Times New Roman;serif"/>
          <w:b w:val="false"/>
          <w:color w:val="000000"/>
          <w:sz w:val="24"/>
        </w:rPr>
        <w:t xml:space="preserve">. Except as otherwise provided herein or expressly required by applicable law, at all meetings of shareholders and on all matters submitted to a vote of shareholders of the Corporation generally, (i) each holder of Class A Common Stock, as such, shall have one (1) vote per share of Class A Common Stock held of record by such holder, and (ii) each holder of Class B Common Stock, as such, shall have ten (10) votes per share of Class B Common Stock held of record by such holder;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except as otherwise required by law, holders of Class A Common Stock and Class B Common Stock, as such, shall not be entitled to vote on any amendment to this Restated Certificate that relates solely to the terms of one or more outstanding series of Preferred Stock if the holders of such affected series are entitled, either separately or together with the holders of one or more other such series, to vote thereon pursuant to this Restated Certificate (including any statement of resolution relating to any series of Preferred Stock) or under the TBOC. Except as otherwise provided herein or required by applicable law, the holders of shares of Class A Common Stock and Class B Common Stock shall at all times vote together as a single class on all matters submitted to a vote of the shareholders of the Corporation. There shall be no cumulative voting. </w:t>
      </w:r>
    </w:p>
    <w:p>
      <w:pPr>
        <w:pStyle w:val="TextBody"/>
        <w:bidi w:val="0"/>
        <w:spacing w:lineRule="auto" w:line="333" w:before="0" w:after="240"/>
        <w:ind w:left="0" w:right="0" w:firstLine="144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Dividends</w:t>
      </w:r>
      <w:r>
        <w:rPr>
          <w:rFonts w:ascii="Times New Roman;serif" w:hAnsi="Times New Roman;serif"/>
          <w:b w:val="false"/>
          <w:color w:val="000000"/>
          <w:sz w:val="24"/>
        </w:rPr>
        <w:t xml:space="preserve">. Subject to the preferential or other rights of any holders of any then-outstanding shares of Preferred Stock, shares of Class A Common Stock and Class B Common Stock shall be treated equally, identically and ratably, on a per share basis, with respect to any distributions or share dividends as may be declared and paid from time to time by the Board out of any assets of the Corporation legally available therefor;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a share dividend is paid in the form of shares of Class A Common Stock or Class B Common Stock (or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and holders of Class B Common Stock shall be entitled to receive shares of Class B Common Stock (or rights to acquire, or securities convertible into or exchangeable for, such shares, as the case may be), with holders of shares of Class A Common Stock and Class B Common Stock receiving, on a per share basis, an identical number of shares of Class A Common Stock or Class B Common Stock (or rights to acquire, or securities convertible into or exchangeable for, such shares, as the case may be),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Board may pay or make a disparate distribution or share dividend per share of Class A Common Stock or Class B Common Stock (whether in the amount of such dividend payable per share, the form in which such dividend is payable, the timing of the payment, or otherwise) if such disparate distribution or share dividend is approved by the affirmative vote of the holders of a majority of the outstanding shares of Class A Common Stock and Class B Common Stock, each voting separately as a series.</w:t>
      </w:r>
    </w:p>
    <w:p>
      <w:pPr>
        <w:pStyle w:val="TextBody"/>
        <w:bidi w:val="0"/>
        <w:spacing w:lineRule="auto" w:line="333" w:before="0" w:after="240"/>
        <w:ind w:left="0" w:right="0" w:firstLine="144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Subdivisions, Combinations or Reclassifications</w:t>
      </w:r>
      <w:r>
        <w:rPr>
          <w:rFonts w:ascii="Times New Roman;serif" w:hAnsi="Times New Roman;serif"/>
          <w:b w:val="false"/>
          <w:color w:val="000000"/>
          <w:sz w:val="24"/>
        </w:rPr>
        <w:t>. Shares of Class A Common Stock or Class B Common Stock may not be subdivided, combined or reclassified unless the shares of the other class of Common Stock are concurrently therewith proportionately subdivided, combined or reclassified in a manner that maintains the same proportionate equity ownership among the holders of the outstanding Class A Common Stock and Class B Common Stock on the record date for such subdivision, combination or reclassification; </w:t>
      </w:r>
      <w:r>
        <w:rPr>
          <w:rFonts w:ascii="Times New Roman;serif" w:hAnsi="Times New Roman;serif"/>
          <w:b w:val="false"/>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shares of one such series may be subdivided, combined or reclassified in a different or disproportionate manner if such subdivision, combination or reclassification is approved by the affirmative vote of the holders of a majority of the outstanding shares of Class A Common Stock and Class B Common Stock, each voting separately as a series.</w:t>
      </w:r>
    </w:p>
    <w:p>
      <w:pPr>
        <w:pStyle w:val="TextBody"/>
        <w:bidi w:val="0"/>
        <w:spacing w:lineRule="auto" w:line="333" w:before="0" w:after="240"/>
        <w:ind w:left="0" w:right="0" w:firstLine="144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Liquidation, Dissolution or Winding Up</w:t>
      </w:r>
      <w:r>
        <w:rPr>
          <w:rFonts w:ascii="Times New Roman;serif" w:hAnsi="Times New Roman;serif"/>
          <w:b w:val="false"/>
          <w:color w:val="000000"/>
          <w:sz w:val="24"/>
        </w:rPr>
        <w:t>. Subject to the preferential or other rights of any holders of Preferred Stock then outstanding, upon the dissolution, distribution of assets, liquidation or winding up of the Corporation, whether voluntary or involuntary, holders of Class A Common Stock and Class B Common Stock will be entitled to receive ratably all assets of the Corporation available for distribution to its shareholders in proportion to the number of shares held by each such shareholder, unless disparate or different treatment of the shares of each such series with respect to distributions upon any such liquidation, dissolution, distribution of assets or winding up is approved by the affirmative vote of the holders of a majority of the outstanding shares of Class A Common Stock and Class B Common Stock, each voting separately as a series.</w:t>
      </w:r>
    </w:p>
    <w:p>
      <w:pPr>
        <w:pStyle w:val="TextBody"/>
        <w:bidi w:val="0"/>
        <w:spacing w:lineRule="auto" w:line="333" w:before="0" w:after="240"/>
        <w:ind w:left="0" w:right="0" w:firstLine="144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Merger, Consolidation or Similar Transaction</w:t>
      </w:r>
      <w:r>
        <w:rPr>
          <w:rFonts w:ascii="Times New Roman;serif" w:hAnsi="Times New Roman;serif"/>
          <w:b w:val="false"/>
          <w:color w:val="000000"/>
          <w:sz w:val="24"/>
        </w:rPr>
        <w:t xml:space="preserve">. In the case of any distribution or payment in respect of the shares of Common Stock, or any consideration into which such shares are converted, upon the merger or consolidation of the Corporation with or into any other entity, or in the case of any other transaction having an effect on shareholders substantially similar to that resulting from a merger or consolidation of the Corporation with or into any other entity, such distribution, payment or consideration that the holders of shares of Common Stock have the right to receive, or the right to elect to receive, shall be made ratably on a per share basis among the holders of the Class A Common Stock and Class B Common Stock as a single class; </w:t>
      </w:r>
      <w:r>
        <w:rPr>
          <w:rFonts w:ascii="Times New Roman;serif" w:hAnsi="Times New Roman;serif"/>
          <w:b w:val="false"/>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shares of each such series may (but shall not be required to) receive, or have the right to elect to receive, different or disproportionate consideration in connection with such merger, consolidation or other transaction if (i) the only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 xml:space="preserve">difference in the per share consideration to the holders of the Class A Common Stock and Class B Common Stock is that any securities distributed to the holder of, or issuable upon the conversion of, a share of Class B Common Stock have ten (10) times the voting power of any securities distributed to the holder of, or issuable upon the conversion of, a share of Class A Common Stock, or (ii) such merger, consolidation, or other transaction is approved by the affirmative vote of the holders of a majority of the then outstanding shares of Class A Common Stock and Class B Common Stock, each voting separately as a series. For the avoidance of doubt, any distribution, payment or consideration for purposes of this Section 6 of Part A of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shall not be deemed to include (i) any amount or consideration to be paid to or received by a holder of Common Stock pursuant to any indemnification, employment, consulting, severance or similar services arrangement, whether or not entered into in connection with a transaction described in this Section or (ii) a negotiated agreement between a holder of Common Stock with any counterparty (or Affiliate (as defined below) thereof) to a transaction described in this Section wherein such holder is contributing, selling, transferring or otherwise disposing of shares of the Corporation’s capital stock to such counterparty (or Affiliate thereof) as part of a “rollover” or similar transaction that is in connection with such transaction. </w:t>
      </w:r>
    </w:p>
    <w:p>
      <w:pPr>
        <w:pStyle w:val="TextBody"/>
        <w:bidi w:val="0"/>
        <w:spacing w:lineRule="auto" w:line="333" w:before="0" w:after="240"/>
        <w:ind w:left="0" w:right="0" w:firstLine="144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Conversion of Class B Common Stock</w:t>
      </w:r>
      <w:r>
        <w:rPr>
          <w:rFonts w:ascii="Times New Roman;serif" w:hAnsi="Times New Roman;serif"/>
          <w:b w:val="false"/>
          <w:color w:val="000000"/>
          <w:sz w:val="24"/>
        </w:rPr>
        <w:t>.</w:t>
      </w:r>
    </w:p>
    <w:p>
      <w:pPr>
        <w:pStyle w:val="TextBody"/>
        <w:bidi w:val="0"/>
        <w:spacing w:lineRule="auto" w:line="333" w:before="0" w:after="240"/>
        <w:ind w:left="0" w:right="0" w:firstLine="2160"/>
        <w:jc w:val="both"/>
        <w:rPr/>
      </w:pPr>
      <w:r>
        <w:rPr>
          <w:rFonts w:ascii="Times New Roman;serif" w:hAnsi="Times New Roman;serif"/>
          <w:b w:val="false"/>
          <w:color w:val="000000"/>
          <w:sz w:val="24"/>
        </w:rPr>
        <w:t>7.1    </w:t>
      </w:r>
      <w:r>
        <w:rPr>
          <w:rFonts w:ascii="Times New Roman;serif" w:hAnsi="Times New Roman;serif"/>
          <w:b w:val="false"/>
          <w:color w:val="000000"/>
          <w:sz w:val="24"/>
          <w:u w:val="single"/>
        </w:rPr>
        <w:t>Optional Conversion</w:t>
      </w:r>
      <w:r>
        <w:rPr>
          <w:rFonts w:ascii="Times New Roman;serif" w:hAnsi="Times New Roman;serif"/>
          <w:b w:val="false"/>
          <w:color w:val="000000"/>
          <w:sz w:val="24"/>
        </w:rPr>
        <w:t xml:space="preserve">. Each share of Class B Common Stock shall be convertible into one (1) fully paid and nonassessable share of Class A Common Stock at the option of the holder thereof at any time upon written notice to the Corporation, subject to the provisions of Subsection 7.4 of Part A of Article IV. </w:t>
      </w:r>
    </w:p>
    <w:p>
      <w:pPr>
        <w:pStyle w:val="TextBody"/>
        <w:bidi w:val="0"/>
        <w:spacing w:lineRule="auto" w:line="333" w:before="0" w:after="240"/>
        <w:ind w:left="0" w:right="0" w:firstLine="2160"/>
        <w:jc w:val="both"/>
        <w:rPr/>
      </w:pPr>
      <w:r>
        <w:rPr>
          <w:rFonts w:ascii="Times New Roman;serif" w:hAnsi="Times New Roman;serif"/>
          <w:b w:val="false"/>
          <w:color w:val="000000"/>
          <w:sz w:val="24"/>
        </w:rPr>
        <w:t>7.2    </w:t>
      </w:r>
      <w:r>
        <w:rPr>
          <w:rFonts w:ascii="Times New Roman;serif" w:hAnsi="Times New Roman;serif"/>
          <w:b w:val="false"/>
          <w:color w:val="000000"/>
          <w:sz w:val="24"/>
          <w:u w:val="single"/>
        </w:rPr>
        <w:t>Automatic Conversion Upon Certain Transfers</w:t>
      </w:r>
      <w:r>
        <w:rPr>
          <w:rFonts w:ascii="Times New Roman;serif" w:hAnsi="Times New Roman;serif"/>
          <w:b w:val="false"/>
          <w:color w:val="000000"/>
          <w:sz w:val="24"/>
        </w:rPr>
        <w:t>. With respect to each holder of Class B Common Stock, upon the occurrence of a Transfer (as defined below), other than a Permitted Transfer (as defined below), of shares of Class B Common Stock held by such holder, each share subject to such Transfer shall automatically, without further action by the Corporation or the holder thereof, convert into one (1) fully paid and nonassessable share of Class A Common Stock.</w:t>
      </w:r>
    </w:p>
    <w:p>
      <w:pPr>
        <w:pStyle w:val="TextBody"/>
        <w:bidi w:val="0"/>
        <w:spacing w:lineRule="auto" w:line="333" w:before="0" w:after="240"/>
        <w:ind w:left="0" w:right="0" w:firstLine="2160"/>
        <w:jc w:val="both"/>
        <w:rPr/>
      </w:pPr>
      <w:r>
        <w:rPr>
          <w:rFonts w:ascii="Times New Roman;serif" w:hAnsi="Times New Roman;serif"/>
          <w:b w:val="false"/>
          <w:color w:val="000000"/>
          <w:sz w:val="24"/>
        </w:rPr>
        <w:t>7.3    </w:t>
      </w:r>
      <w:r>
        <w:rPr>
          <w:rFonts w:ascii="Times New Roman;serif" w:hAnsi="Times New Roman;serif"/>
          <w:b w:val="false"/>
          <w:color w:val="000000"/>
          <w:sz w:val="24"/>
          <w:u w:val="single"/>
        </w:rPr>
        <w:t>Final Conversion of All Shares</w:t>
      </w:r>
      <w:r>
        <w:rPr>
          <w:rFonts w:ascii="Times New Roman;serif" w:hAnsi="Times New Roman;serif"/>
          <w:b w:val="false"/>
          <w:color w:val="000000"/>
          <w:sz w:val="24"/>
        </w:rPr>
        <w:t>. Each outstanding share of Class B Common Stock shall automatically, without further action by the Corporation or any holder thereof, convert into one (1) fully paid and nonassessable share of Class A Common Stock at the Final Conversion Time (as defined below).</w:t>
      </w:r>
    </w:p>
    <w:p>
      <w:pPr>
        <w:pStyle w:val="TextBody"/>
        <w:bidi w:val="0"/>
        <w:spacing w:lineRule="auto" w:line="333" w:before="0" w:after="240"/>
        <w:ind w:left="0" w:right="0" w:firstLine="2160"/>
        <w:jc w:val="both"/>
        <w:rPr/>
      </w:pPr>
      <w:r>
        <w:rPr>
          <w:rFonts w:ascii="Times New Roman;serif" w:hAnsi="Times New Roman;serif"/>
          <w:b w:val="false"/>
          <w:color w:val="000000"/>
          <w:sz w:val="24"/>
        </w:rPr>
        <w:t>7.4    </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w:t>
      </w:r>
    </w:p>
    <w:p>
      <w:pPr>
        <w:pStyle w:val="TextBody"/>
        <w:bidi w:val="0"/>
        <w:spacing w:lineRule="auto" w:line="333"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7.4.1    Before any holder of Class B Common Stock shall be entitled to convert any shares of Class B Common Stock into shares of Class A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Subsection 7.1 of Part A of Article IV, such holder shall surrender the certificate or certificates therefor (if any), duly endorsed, at the principal corporate office of the Corporation or of any transfer agent for the Class B Common Stock, and shall provide written 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will be certificated) or (ii) in which such shares of Class A Common Stock are to be registered in book-entry form (if such shares of Class A Common Stock will be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Such conversion shall be deemed to be effective immediately prior to the close of business (i) with respect to certificated shares, on the date of such surrender of the certificate or certificates representing the shares of Class B Common Stock to be converted or (ii) with respect to shares that are uncertificated, immediately prior to the close of business on the date that the holder delivers notice of such conversion election as required by this Subsection to the Corporation or its transfer agent, and, in each case, the shares of Class A Common Stock issuable upon such conversion shall be deemed to be outstanding as of such time, and the person or persons entitled to receive the shares of Class A Common Stock issuable upon such conversion shall be deemed to be the record holder or holders of such shares of Class A Common Stock as of such time. Notwithstanding anything herein to the contrary, shares of Class B Common Stock represented by a lost, stolen or destroyed stock certificate may be converted pursuant to Subsection 7.1 of Part A of Article IV if the holder thereof notifies the Corporation or its transfer agent that such certificate has been lost, stolen or destroyed, provides an affidavit of that fact acceptable to the Corporation and executes an agreement acceptable to the Corporation (and, if required by the Corporation, posts a bond in such amount as the Corporation may determine is reasonably necessary) to indemnify the Corporation from any loss incurred by it in connection with such certificate.</w:t>
      </w:r>
    </w:p>
    <w:p>
      <w:pPr>
        <w:pStyle w:val="TextBody"/>
        <w:bidi w:val="0"/>
        <w:spacing w:lineRule="auto" w:line="333"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7.4.2    Each outstanding stock certificate (if shares are in certificated form) that, immediately prior to the occurrence of a conversion pursuant to Subsections 7.2 and 7.3 of Part A of Article IV represented one or more shares of Class B Common Stock subject to such conversion shall, upon such conversion, be deemed to represent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an equal number of shares of Class A Common Stock, without the need for surrender or exchange thereof. The Corporation shall, upon the request of any holder whose shares of Class B Common Stock have been converted into shares of Class A Common Stock as a result of any conversion pursuant to Subsections 7.2 or 7.3 of Part A of Article IV, and upon surrender by such holder to the Corporation of the outstanding certificate(s) formerly representing such holder’s shares of Class B Common Stock, if any (or, in the case of any lost, stolen or destroyed certificate, upon such holder providing an affidavit of that fact acceptable to the Corporation and executing an agreement acceptable to the Corporation (and, if required by the Corporation, posting a bond in such amount as the Corporation may determine is reasonably necessary) to indemnify the Corporation from any loss incurred by it in connection with such certificate), issue and deliver to such holder’s transferee(s) or such holder, as applicable, certificate(s) representing the shares of Class A Common Stock into which such holder’s shares of Class B Common Stock were converted as a result of such conversion (if such shares are certificated) or, if such shares are uncertificated, register such shares in book-entry form.</w:t>
      </w:r>
    </w:p>
    <w:p>
      <w:pPr>
        <w:pStyle w:val="TextBody"/>
        <w:bidi w:val="0"/>
        <w:spacing w:lineRule="auto" w:line="333"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7.4.3    Each share of Class B Common Stock that is converted pursuant to Subsections 7.1, 7.2 or 7.3 of Part A of Article IV shall thereupon automatically be retired and cancelled in accordance with the applicable provisions of the TBOC, and shall not be available for reissuance. Upon the retirement and cancellation of all shares of Class B Common Stock, all references to Class B Common Stock in this Restated Certificate shall be eliminated.</w:t>
      </w:r>
    </w:p>
    <w:p>
      <w:pPr>
        <w:pStyle w:val="TextBody"/>
        <w:bidi w:val="0"/>
        <w:spacing w:lineRule="auto" w:line="333"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7.4.4    The Corporation may, from time to time, establish such policies and procedures, not in violation of applicable law or the other provisions of this Restated Certificate or the Bylaws of the Corporation, relating to the conversion of the Class B Common Stock into Class A Common Stock and the general administration of this dual series of Common Stock structure, as it may deem necessary or advisable in connection therewith. If the Corporation has reason to believe that any circumstance giving rise to a conversion of shares of Class B Common Stock into Class A Common Stock in accordance with the provisions of this Section 7 of Part A of Article IV has occurred but has not theretofore been reflected on the books and records of the Corporation (or in book-entry as maintained by the transfer agent of the Corporation), the Corporation may request that the holder of such shares furnish affidavits or other evidence to the Corporation as the Corporation deems necessary to determine whether a conversion of shares of Class B Common Stock to Class A Common Stock has occurred, and if such holder does not within ten (10) days after the date of such request furnish sufficient evidence to the Corporation (in the manner provided in the request) to enable the Corporation to determine that no such conversion has occurred, any such shares of Class B Common Stock, to the extent not previously converted, shall be automatically converted into shares of Class A Common Stock and the same shall thereupon be registered on the books and records of the Corporation (or in book-entry as maintained by the transfer agent of the Corporation). In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connection with any action of shareholders taken at a meeting, the stock ledger of the Corporation (or in book-entry as maintained by the transfer agent of the Corporation) shall be presumptive evidence as to who are the shareholders entitled to vote in person or by proxy at any meeting of shareholders and the class or classes or series of shares held by each such shareholder and the number of shares of each class or classes or series held by such shareholder.</w:t>
      </w:r>
    </w:p>
    <w:p>
      <w:pPr>
        <w:pStyle w:val="TextBody"/>
        <w:bidi w:val="0"/>
        <w:spacing w:lineRule="auto" w:line="333" w:before="0" w:after="240"/>
        <w:ind w:left="0" w:right="0" w:firstLine="144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Reservation of Stock</w:t>
      </w:r>
      <w:r>
        <w:rPr>
          <w:rFonts w:ascii="Times New Roman;serif" w:hAnsi="Times New Roman;serif"/>
          <w:b w:val="false"/>
          <w:color w:val="000000"/>
          <w:sz w:val="24"/>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 and if at any time the number of authorized but unissued shares of Class A Common Stock will not be sufficient to effect the conversion of all the then outstanding shares of Class B Common Stock, the Corporation will take such corporate action as may, in the opinion of its counsel, be necessary to increase its authorized but unissued shares of Class A Common Stock to such number of shares as will be sufficient for such purpose.</w:t>
      </w:r>
    </w:p>
    <w:p>
      <w:pPr>
        <w:pStyle w:val="TextBody"/>
        <w:bidi w:val="0"/>
        <w:spacing w:lineRule="auto" w:line="333" w:before="0" w:after="240"/>
        <w:ind w:left="0" w:right="0" w:firstLine="144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lineRule="auto" w:line="333" w:before="0" w:after="240"/>
        <w:ind w:left="0" w:right="0" w:firstLine="2160"/>
        <w:jc w:val="both"/>
        <w:rPr/>
      </w:pPr>
      <w:r>
        <w:rPr>
          <w:rFonts w:ascii="Times New Roman;serif" w:hAnsi="Times New Roman;serif"/>
          <w:b w:val="false"/>
          <w:color w:val="000000"/>
          <w:sz w:val="24"/>
        </w:rPr>
        <w:t>9.1    “</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means, with respect to any person, an “affiliate” of such person as defined in Rule 405 of the Securities Act (as defined below).</w:t>
      </w:r>
    </w:p>
    <w:p>
      <w:pPr>
        <w:pStyle w:val="TextBody"/>
        <w:bidi w:val="0"/>
        <w:spacing w:lineRule="auto" w:line="333" w:before="0" w:after="240"/>
        <w:ind w:left="0" w:right="0" w:firstLine="2160"/>
        <w:jc w:val="both"/>
        <w:rPr/>
      </w:pPr>
      <w:r>
        <w:rPr>
          <w:rFonts w:ascii="Times New Roman;serif" w:hAnsi="Times New Roman;serif"/>
          <w:b w:val="false"/>
          <w:color w:val="000000"/>
          <w:sz w:val="24"/>
        </w:rPr>
        <w:t>9.2    “</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333" w:before="0" w:after="240"/>
        <w:ind w:left="0" w:right="0" w:firstLine="2160"/>
        <w:jc w:val="both"/>
        <w:rPr/>
      </w:pPr>
      <w:r>
        <w:rPr>
          <w:rFonts w:ascii="Times New Roman;serif" w:hAnsi="Times New Roman;serif"/>
          <w:b w:val="false"/>
          <w:color w:val="000000"/>
          <w:sz w:val="24"/>
        </w:rPr>
        <w:t>9.3    </w:t>
      </w: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 xml:space="preserve">means, with respect to the Founder (as defined below), the permanent and total disability of the Founder such that the Founder is unable to engage in any substantial gainful activity by reason of any medically determinable physical or mental impairment which can be expected to result in death within twelve (12) months or which has lasted or can be expected to last for a continuous period of not less than twelve (12) months, in each case, as determined by a licensed medical practitioner jointly selected by a majority of the disinterested members of the Board and the Founder;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Founder is incapable of selecting a licensed physician, then the Founder’s spouse shall make the selection on behalf of the Founder, or in the absence or incapacity of the Founder’s spouse, the Founder’s adult children by majority vote shall make the selection on behalf of the Founder. In the event that (i) a dispute exists as to whether the Founder has suffered a Disability or (ii) neither the Founder’s spouse nor his adult children, as applicable, are able to select a licensed physician on behalf of the Founder, no Disability of the Founder shall be deemed to have occurred unless and until an affirmative ruling regarding such Disability has been made by a court of competent jurisdiction, and such ruling has become final and nonappealable.</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33" w:before="0" w:after="240"/>
        <w:ind w:left="0" w:right="0" w:firstLine="2160"/>
        <w:jc w:val="both"/>
        <w:rPr/>
      </w:pPr>
      <w:r>
        <w:rPr>
          <w:rFonts w:ascii="Times New Roman;serif" w:hAnsi="Times New Roman;serif"/>
          <w:b w:val="false"/>
          <w:color w:val="000000"/>
          <w:sz w:val="24"/>
        </w:rPr>
        <w:t>9.4    “</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333" w:before="0" w:after="240"/>
        <w:ind w:left="0" w:right="0" w:firstLine="2160"/>
        <w:jc w:val="both"/>
        <w:rPr/>
      </w:pPr>
      <w:r>
        <w:rPr>
          <w:rFonts w:ascii="Times New Roman;serif" w:hAnsi="Times New Roman;serif"/>
          <w:b w:val="false"/>
          <w:color w:val="000000"/>
          <w:sz w:val="24"/>
        </w:rPr>
        <w:t>9.5    “</w:t>
      </w:r>
      <w:r>
        <w:rPr>
          <w:rFonts w:ascii="Times New Roman;serif" w:hAnsi="Times New Roman;serif"/>
          <w:b/>
          <w:i/>
          <w:color w:val="000000"/>
          <w:sz w:val="24"/>
        </w:rPr>
        <w:t>Family Member</w:t>
      </w:r>
      <w:r>
        <w:rPr>
          <w:color w:val="000000"/>
        </w:rPr>
        <w:t xml:space="preserve">” </w:t>
      </w:r>
      <w:r>
        <w:rPr>
          <w:rFonts w:ascii="Times New Roman;serif" w:hAnsi="Times New Roman;serif"/>
          <w:b w:val="false"/>
          <w:color w:val="000000"/>
          <w:sz w:val="24"/>
        </w:rPr>
        <w:t>means with respect to any natural person, the spouse, widow, widower, domestic partner, parents, grandparents, lineal descendants, siblings and lineal descendants of siblings (in each case whether by blood relation, adoption, marriage or domestic partnership) of such person.</w:t>
      </w:r>
    </w:p>
    <w:p>
      <w:pPr>
        <w:pStyle w:val="TextBody"/>
        <w:bidi w:val="0"/>
        <w:spacing w:lineRule="auto" w:line="333" w:before="0" w:after="240"/>
        <w:ind w:left="0" w:right="0" w:firstLine="2160"/>
        <w:jc w:val="both"/>
        <w:rPr/>
      </w:pPr>
      <w:r>
        <w:rPr>
          <w:rFonts w:ascii="Times New Roman;serif" w:hAnsi="Times New Roman;serif"/>
          <w:b w:val="false"/>
          <w:color w:val="000000"/>
          <w:sz w:val="24"/>
        </w:rPr>
        <w:t>9.6    “</w:t>
      </w:r>
      <w:r>
        <w:rPr>
          <w:rFonts w:ascii="Times New Roman;serif" w:hAnsi="Times New Roman;serif"/>
          <w:b/>
          <w:i/>
          <w:color w:val="000000"/>
          <w:sz w:val="24"/>
        </w:rPr>
        <w:t>Final Conversion Time</w:t>
      </w:r>
      <w:r>
        <w:rPr>
          <w:color w:val="000000"/>
        </w:rPr>
        <w:t xml:space="preserve">” </w:t>
      </w:r>
      <w:r>
        <w:rPr>
          <w:rFonts w:ascii="Times New Roman;serif" w:hAnsi="Times New Roman;serif"/>
          <w:b w:val="false"/>
          <w:color w:val="000000"/>
          <w:sz w:val="24"/>
        </w:rPr>
        <w:t>means 4:00 p.m. in Austin, Texas on the earliest to occur of (i) the date fixed by the Board that is no less than sixty (60) days and no more than one hundred eighty (180) days following the death or determination of Disability of the Founder, (ii) the date fixed by the Board that is no less than sixty (60) days and no more than one hundred eighty (180) days following the date that the Founder is no longer providing services to the Corporation as an executive officer or director, or (iii) the date fixed by the Board that is no less than sixty (60) days and no more than one hundred eighty (180) days following the date on which the Founder, his Permitted Entities (as defined below) and any of their Permitted Transferees (as defined below) cease to hold or control the vote of, in the aggregate, at least ten percent (10%) of the shares of Class B Common Stock held by or subject to the Voting Control (as defined below) of them as of the completion of the Corporation’s IPO (as defined below) (as appropriately adjusted for any stock split, stock dividend, reorganization, stock combination or similar transaction with respect to the Class B Common Stock).</w:t>
      </w:r>
    </w:p>
    <w:p>
      <w:pPr>
        <w:pStyle w:val="TextBody"/>
        <w:bidi w:val="0"/>
        <w:spacing w:lineRule="auto" w:line="333" w:before="0" w:after="240"/>
        <w:ind w:left="0" w:right="0" w:firstLine="2160"/>
        <w:jc w:val="both"/>
        <w:rPr/>
      </w:pPr>
      <w:r>
        <w:rPr>
          <w:rFonts w:ascii="Times New Roman;serif" w:hAnsi="Times New Roman;serif"/>
          <w:b w:val="false"/>
          <w:color w:val="000000"/>
          <w:sz w:val="24"/>
        </w:rPr>
        <w:t>9.7    “</w:t>
      </w:r>
      <w:r>
        <w:rPr>
          <w:rFonts w:ascii="Times New Roman;serif" w:hAnsi="Times New Roman;serif"/>
          <w:b/>
          <w:i/>
          <w:color w:val="000000"/>
          <w:sz w:val="24"/>
        </w:rPr>
        <w:t>Founder</w:t>
      </w:r>
      <w:r>
        <w:rPr>
          <w:color w:val="000000"/>
        </w:rPr>
        <w:t xml:space="preserve">” </w:t>
      </w:r>
      <w:r>
        <w:rPr>
          <w:rFonts w:ascii="Times New Roman;serif" w:hAnsi="Times New Roman;serif"/>
          <w:b w:val="false"/>
          <w:color w:val="000000"/>
          <w:sz w:val="24"/>
        </w:rPr>
        <w:t>means Kenneth Gregg.</w:t>
      </w:r>
    </w:p>
    <w:p>
      <w:pPr>
        <w:pStyle w:val="TextBody"/>
        <w:bidi w:val="0"/>
        <w:spacing w:lineRule="auto" w:line="333" w:before="0" w:after="240"/>
        <w:ind w:left="0" w:right="0" w:firstLine="2160"/>
        <w:jc w:val="both"/>
        <w:rPr/>
      </w:pPr>
      <w:r>
        <w:rPr>
          <w:rFonts w:ascii="Times New Roman;serif" w:hAnsi="Times New Roman;serif"/>
          <w:b w:val="false"/>
          <w:color w:val="000000"/>
          <w:sz w:val="24"/>
        </w:rPr>
        <w:t>9.8    “</w:t>
      </w:r>
      <w:r>
        <w:rPr>
          <w:rFonts w:ascii="Times New Roman;serif" w:hAnsi="Times New Roman;serif"/>
          <w:b/>
          <w:i/>
          <w:color w:val="000000"/>
          <w:sz w:val="24"/>
        </w:rPr>
        <w:t>IPO</w:t>
      </w:r>
      <w:r>
        <w:rPr>
          <w:color w:val="000000"/>
        </w:rPr>
        <w:t xml:space="preserve">” </w:t>
      </w:r>
      <w:r>
        <w:rPr>
          <w:rFonts w:ascii="Times New Roman;serif" w:hAnsi="Times New Roman;serif"/>
          <w:b w:val="false"/>
          <w:color w:val="000000"/>
          <w:sz w:val="24"/>
        </w:rPr>
        <w:t>means the sale of shares of Class A Common Stock to the public in a firm-commitment underwritten initial public offering, pursuant to an effective registration statement under the Securities Act.</w:t>
      </w:r>
    </w:p>
    <w:p>
      <w:pPr>
        <w:pStyle w:val="TextBody"/>
        <w:bidi w:val="0"/>
        <w:spacing w:lineRule="auto" w:line="333" w:before="0" w:after="240"/>
        <w:ind w:left="0" w:right="0" w:firstLine="2160"/>
        <w:jc w:val="both"/>
        <w:rPr/>
      </w:pPr>
      <w:r>
        <w:rPr>
          <w:rFonts w:ascii="Times New Roman;serif" w:hAnsi="Times New Roman;serif"/>
          <w:b w:val="false"/>
          <w:color w:val="000000"/>
          <w:sz w:val="24"/>
        </w:rPr>
        <w:t>9.9    “</w:t>
      </w:r>
      <w:r>
        <w:rPr>
          <w:rFonts w:ascii="Times New Roman;serif" w:hAnsi="Times New Roman;serif"/>
          <w:b/>
          <w:i/>
          <w:color w:val="000000"/>
          <w:sz w:val="24"/>
        </w:rPr>
        <w:t>Permitted Entity</w:t>
      </w:r>
      <w:r>
        <w:rPr>
          <w:color w:val="000000"/>
        </w:rPr>
        <w:t xml:space="preserve">” </w:t>
      </w:r>
      <w:r>
        <w:rPr>
          <w:rFonts w:ascii="Times New Roman;serif" w:hAnsi="Times New Roman;serif"/>
          <w:b w:val="false"/>
          <w:color w:val="000000"/>
          <w:sz w:val="24"/>
        </w:rPr>
        <w:t xml:space="preserve">means, with respect to any Qualified Shareholder (as defined below):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    any Affiliate of, or corporation, general partnership, limited partnership, limited liability company, private limited company or other entity that (a) directly or indirectly controls, is controlled by, or is under common control with, such Qualified Shareholder, one or more Family Members of such Qualified Shareholder or any other Permitted Entity of such Qualified Shareholder, or (b) is directly or indirectly exclusively owned by one or more Family Members of such Qualified Shareholder;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(ii)    any Permitted Trust (as defined below) solely for the benefit of (a) such Qualified Shareholder, (b) one or more Family Members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Qualified Shareholder and/or (c) any other Permitted Entity of such Qualified Shareholder;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(iii)    any organization that is tax-exempt under Section 501(c)(3) of the Code, so long as such Qualified Shareholder and/or one or more Family Members of such Qualified Shareholder have exclusive Voting Control with respect to the shares of Class B Common Stock held by such organization; and</w:t>
      </w:r>
    </w:p>
    <w:p>
      <w:pPr>
        <w:pStyle w:val="TextBody"/>
        <w:bidi w:val="0"/>
        <w:spacing w:lineRule="auto" w:line="333" w:before="0" w:after="240"/>
        <w:jc w:val="both"/>
        <w:rPr/>
      </w:pPr>
      <w:r>
        <w:rPr>
          <w:rFonts w:ascii="Times New Roman;serif" w:hAnsi="Times New Roman;serif"/>
          <w:b w:val="false"/>
          <w:color w:val="000000"/>
          <w:sz w:val="24"/>
        </w:rPr>
        <w:t xml:space="preserve">(iv)    any Individual Retirement Account, as defined in Section 408(a) of the Code, or a pension, profit sharing, stock bonus or other type of plan or trust of which such Qualified Shareholder is a participant or beneficiary and which satisfies the requirements for qualification under Section 401 of the Code;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each case such Qualified Shareholder or such Qualified Shareholder’s Permitted Transferees have exclusive Voting Control with respect to the shares of Class B Common Stock held in such account, plan or trust.</w:t>
      </w:r>
    </w:p>
    <w:p>
      <w:pPr>
        <w:pStyle w:val="TextBody"/>
        <w:bidi w:val="0"/>
        <w:spacing w:lineRule="auto" w:line="333" w:before="0" w:after="240"/>
        <w:ind w:left="0" w:right="0" w:firstLine="2160"/>
        <w:jc w:val="both"/>
        <w:rPr/>
      </w:pPr>
      <w:r>
        <w:rPr>
          <w:rFonts w:ascii="Times New Roman;serif" w:hAnsi="Times New Roman;serif"/>
          <w:b w:val="false"/>
          <w:color w:val="000000"/>
          <w:sz w:val="24"/>
        </w:rPr>
        <w:t>9.10    “</w:t>
      </w:r>
      <w:r>
        <w:rPr>
          <w:rFonts w:ascii="Times New Roman;serif" w:hAnsi="Times New Roman;serif"/>
          <w:b/>
          <w:i/>
          <w:color w:val="000000"/>
          <w:sz w:val="24"/>
        </w:rPr>
        <w:t>Permitted Transfer</w:t>
      </w:r>
      <w:r>
        <w:rPr>
          <w:color w:val="000000"/>
        </w:rPr>
        <w:t xml:space="preserve">” </w:t>
      </w:r>
      <w:r>
        <w:rPr>
          <w:rFonts w:ascii="Times New Roman;serif" w:hAnsi="Times New Roman;serif"/>
          <w:b w:val="false"/>
          <w:color w:val="000000"/>
          <w:sz w:val="24"/>
        </w:rPr>
        <w:t>shall mean, and be restricted to, any Transfer of a share of Class B Common Stock:</w:t>
      </w:r>
    </w:p>
    <w:p>
      <w:pPr>
        <w:pStyle w:val="TextBody"/>
        <w:bidi w:val="0"/>
        <w:spacing w:lineRule="auto" w:line="333" w:before="0" w:after="12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(i)    by a Qualified Shareholder to (a) one or more Family Members of such Qualified Shareholder or (b) any Permitted Entity of such Qualified Shareholder; </w:t>
      </w:r>
    </w:p>
    <w:p>
      <w:pPr>
        <w:pStyle w:val="TextBody"/>
        <w:bidi w:val="0"/>
        <w:spacing w:lineRule="auto" w:line="333" w:before="0" w:after="12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(ii)    by a Permitted Entity of a Qualified Shareholder to (a) such Qualified Shareholder, (b) one or more Family Members of such Qualified Shareholder, or (c) any other Permitted Entity of such Qualified Shareholder;</w:t>
      </w:r>
    </w:p>
    <w:p>
      <w:pPr>
        <w:pStyle w:val="TextBody"/>
        <w:bidi w:val="0"/>
        <w:spacing w:lineRule="auto" w:line="333" w:before="0" w:after="12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(iii)    to a broker or other nominee so long as the transferor of such share of Class B Common Stock, immediately following such Transfer, retains (a) Voting Control over such share and (b) control over the disposition of such share; or</w:t>
      </w:r>
    </w:p>
    <w:p>
      <w:pPr>
        <w:pStyle w:val="TextBody"/>
        <w:bidi w:val="0"/>
        <w:spacing w:lineRule="auto" w:line="333"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(iv)    that is approved in advance by the Board or a committee thereof as a “Permitted Transfer.”</w:t>
      </w:r>
    </w:p>
    <w:p>
      <w:pPr>
        <w:pStyle w:val="TextBody"/>
        <w:bidi w:val="0"/>
        <w:spacing w:lineRule="auto" w:line="333" w:before="0" w:after="240"/>
        <w:ind w:left="0" w:right="0" w:firstLine="2160"/>
        <w:jc w:val="both"/>
        <w:rPr/>
      </w:pPr>
      <w:r>
        <w:rPr>
          <w:rFonts w:ascii="Times New Roman;serif" w:hAnsi="Times New Roman;serif"/>
          <w:b w:val="false"/>
          <w:color w:val="000000"/>
          <w:sz w:val="24"/>
        </w:rPr>
        <w:t>9.11    “</w:t>
      </w:r>
      <w:r>
        <w:rPr>
          <w:rFonts w:ascii="Times New Roman;serif" w:hAnsi="Times New Roman;serif"/>
          <w:b/>
          <w:i/>
          <w:color w:val="000000"/>
          <w:sz w:val="24"/>
        </w:rPr>
        <w:t>Permitted Transferee</w:t>
      </w:r>
      <w:r>
        <w:rPr>
          <w:color w:val="000000"/>
        </w:rPr>
        <w:t xml:space="preserve">” </w:t>
      </w:r>
      <w:r>
        <w:rPr>
          <w:rFonts w:ascii="Times New Roman;serif" w:hAnsi="Times New Roman;serif"/>
          <w:b w:val="false"/>
          <w:color w:val="000000"/>
          <w:sz w:val="24"/>
        </w:rPr>
        <w:t>means a transferee of shares of Class B Common Stock received in a Permitted Transfer.</w:t>
      </w:r>
    </w:p>
    <w:p>
      <w:pPr>
        <w:pStyle w:val="TextBody"/>
        <w:bidi w:val="0"/>
        <w:spacing w:lineRule="auto" w:line="333" w:before="0" w:after="240"/>
        <w:ind w:left="0" w:right="0" w:firstLine="2160"/>
        <w:jc w:val="both"/>
        <w:rPr/>
      </w:pPr>
      <w:r>
        <w:rPr>
          <w:rFonts w:ascii="Times New Roman;serif" w:hAnsi="Times New Roman;serif"/>
          <w:b w:val="false"/>
          <w:color w:val="000000"/>
          <w:sz w:val="24"/>
        </w:rPr>
        <w:t>9.12    “</w:t>
      </w:r>
      <w:r>
        <w:rPr>
          <w:rFonts w:ascii="Times New Roman;serif" w:hAnsi="Times New Roman;serif"/>
          <w:b/>
          <w:i/>
          <w:color w:val="000000"/>
          <w:sz w:val="24"/>
        </w:rPr>
        <w:t>Permitted Trust</w:t>
      </w:r>
      <w:r>
        <w:rPr>
          <w:color w:val="000000"/>
        </w:rPr>
        <w:t xml:space="preserve">” </w:t>
      </w:r>
      <w:r>
        <w:rPr>
          <w:rFonts w:ascii="Times New Roman;serif" w:hAnsi="Times New Roman;serif"/>
          <w:b w:val="false"/>
          <w:color w:val="000000"/>
          <w:sz w:val="24"/>
        </w:rPr>
        <w:t xml:space="preserve">means a bona fide trust where each trustee is (i) a Qualified Shareholder, (ii) a Family Member of such Qualified Shareholder, (iii) a professional in the business of providing trustee services, including private professional fiduciaries, trust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companies and bank trust departments, or (iv) an individual who may be removed and replaced at the sole discretion of a Qualified Shareholder or a Family Member of such Qualified Shareholder.</w:t>
      </w:r>
    </w:p>
    <w:p>
      <w:pPr>
        <w:pStyle w:val="TextBody"/>
        <w:bidi w:val="0"/>
        <w:spacing w:lineRule="auto" w:line="333" w:before="0" w:after="240"/>
        <w:ind w:left="0" w:right="0" w:firstLine="2160"/>
        <w:jc w:val="both"/>
        <w:rPr/>
      </w:pPr>
      <w:r>
        <w:rPr>
          <w:rFonts w:ascii="Times New Roman;serif" w:hAnsi="Times New Roman;serif"/>
          <w:b w:val="false"/>
          <w:color w:val="000000"/>
          <w:sz w:val="24"/>
        </w:rPr>
        <w:t>9.13    “</w:t>
      </w:r>
      <w:r>
        <w:rPr>
          <w:rFonts w:ascii="Times New Roman;serif" w:hAnsi="Times New Roman;serif"/>
          <w:b/>
          <w:i/>
          <w:color w:val="000000"/>
          <w:sz w:val="24"/>
        </w:rPr>
        <w:t>Qualified Shareholder</w:t>
      </w:r>
      <w:r>
        <w:rPr>
          <w:color w:val="000000"/>
        </w:rPr>
        <w:t xml:space="preserve">” </w:t>
      </w:r>
      <w:r>
        <w:rPr>
          <w:rFonts w:ascii="Times New Roman;serif" w:hAnsi="Times New Roman;serif"/>
          <w:b w:val="false"/>
          <w:color w:val="000000"/>
          <w:sz w:val="24"/>
        </w:rPr>
        <w:t>means (i) the record holder of a share of Class B Common Stock as of the IPO; (ii) the initial record holder of any shares of Class B Common Stock that are originally issued by the Corporation after the IPO pursuant to the exercise, settlement, conversion or exchange of any option, restricted stock unit, warrant or convertible security that, in each case, was outstanding as of the IPO; (iii) each natural person who transferred equity awards granted to such person by the Corporation to a Permitted Entity that is a Qualified Shareholder pursuant to clause (i) or becomes a Qualified Shareholder pursuant to clause (ii); (iv) a Permitted Transferee; and (v) the Founder.</w:t>
      </w:r>
    </w:p>
    <w:p>
      <w:pPr>
        <w:pStyle w:val="TextBody"/>
        <w:bidi w:val="0"/>
        <w:spacing w:lineRule="auto" w:line="333" w:before="0" w:after="240"/>
        <w:ind w:left="0" w:right="0" w:firstLine="2160"/>
        <w:jc w:val="both"/>
        <w:rPr/>
      </w:pPr>
      <w:r>
        <w:rPr>
          <w:rFonts w:ascii="Times New Roman;serif" w:hAnsi="Times New Roman;serif"/>
          <w:b w:val="false"/>
          <w:color w:val="000000"/>
          <w:sz w:val="24"/>
        </w:rPr>
        <w:t>9.14    “</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333" w:before="0" w:after="240"/>
        <w:ind w:left="0" w:right="0" w:firstLine="2160"/>
        <w:jc w:val="both"/>
        <w:rPr/>
      </w:pPr>
      <w:r>
        <w:rPr>
          <w:rFonts w:ascii="Times New Roman;serif" w:hAnsi="Times New Roman;serif"/>
          <w:b w:val="false"/>
          <w:color w:val="000000"/>
          <w:sz w:val="24"/>
        </w:rPr>
        <w:t>9.15    “</w:t>
      </w:r>
      <w:r>
        <w:rPr>
          <w:rFonts w:ascii="Times New Roman;serif" w:hAnsi="Times New Roman;serif"/>
          <w:b/>
          <w:i/>
          <w:color w:val="000000"/>
          <w:sz w:val="24"/>
        </w:rPr>
        <w:t>Transfer</w:t>
      </w:r>
      <w:r>
        <w:rPr>
          <w:color w:val="000000"/>
        </w:rPr>
        <w:t xml:space="preserve">” </w:t>
      </w:r>
      <w:r>
        <w:rPr>
          <w:rFonts w:ascii="Times New Roman;serif" w:hAnsi="Times New Roman;serif"/>
          <w:b w:val="false"/>
          <w:color w:val="000000"/>
          <w:sz w:val="24"/>
        </w:rPr>
        <w:t xml:space="preserve">means any direct or indirect sale, exchange, redemption, assignment, distribution, encumbrance, hypothecation, gift, pledge, retirement, transfer, conveyance or other disposition or alienation in any way (whether or not for value and whether voluntarily, involuntarily or by operation of law), including, without limitation: (i) any assignment or distribution resulting from death, incompetency, bankruptcy, liquidation and dissolution; (ii) any transfer to a broker or other nominee (regardless of whether there is a corresponding change in beneficial ownership); and (iii) any transfer of, or entering into a binding agreement with respect to the transfer of, Voting Control;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following shall not be considered a “Transfer” within the meaning of this Section 9 of Part A of Article IV:</w:t>
      </w:r>
    </w:p>
    <w:p>
      <w:pPr>
        <w:pStyle w:val="TextBody"/>
        <w:bidi w:val="0"/>
        <w:spacing w:lineRule="auto" w:line="333" w:before="0" w:after="12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    the granting of a revocable proxy to officers or directors of the Corporation at the request of the Board in connection with actions to be taken at an annual or special meeting of shareholders or any other action of the shareholders permitted by this Restated Certificate;</w:t>
      </w:r>
    </w:p>
    <w:p>
      <w:pPr>
        <w:pStyle w:val="TextBody"/>
        <w:bidi w:val="0"/>
        <w:spacing w:lineRule="auto" w:line="333" w:before="0" w:after="12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(ii)    the entering into a voting trust, agreement or arrangement (with or without granting a proxy) to which the Founder and/or the Founder’s Permitted Transferees are party that (a) the Corporation is aware as of the Effective Time or (b) is disclosed either in a Schedule 13D filed with the Securities and Exchange Commission or in writing to the Secretary of the Corporation;</w:t>
      </w:r>
    </w:p>
    <w:p>
      <w:pPr>
        <w:pStyle w:val="TextBody"/>
        <w:bidi w:val="0"/>
        <w:spacing w:lineRule="auto" w:line="333" w:before="0" w:after="12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(iii)    the entering into a voting trust, agreement or arrangement (with or without granting a proxy) pursuant to a written agreement to which the Corporation is a party or that has been approved by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33" w:before="0" w:after="12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(iv)    the entering into, or reaching an agreement, arrangement or understanding regarding, a support, voting, tender or similar agreement or arrangement (with or without a proxy) in connection with a merger, asset transfer, asset acquisition or similar transaction approved by the Board;</w:t>
      </w:r>
    </w:p>
    <w:p>
      <w:pPr>
        <w:pStyle w:val="TextBody"/>
        <w:bidi w:val="0"/>
        <w:spacing w:lineRule="auto" w:line="333" w:before="0" w:after="120"/>
        <w:ind w:left="0" w:right="0" w:firstLine="2880"/>
        <w:jc w:val="both"/>
        <w:rPr/>
      </w:pPr>
      <w:r>
        <w:rPr>
          <w:rFonts w:ascii="Times New Roman;serif" w:hAnsi="Times New Roman;serif"/>
          <w:b w:val="false"/>
          <w:color w:val="000000"/>
          <w:sz w:val="24"/>
        </w:rPr>
        <w:t xml:space="preserve">(v)    (a) the pledge of shares of Class B Common Stock by a shareholder that creates a mere security interest in such shares pursuant to a bona fide loan or other financing transaction, including, without limitation, any form of margin loan, or (b) a bona fide hedging or other derivative transaction (including without limitation a swap, option or forward transaction (or combination thereof) and any related pledge), in each case, for so long as such shareholder continues to exercise Voting Control over such shares;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each of (x) a foreclosure on such shares or other similar action by the pledgee and (y) the settlement of any hedging or derivative transaction by delivery of shares of Class B Common Stock shall constitute a Transfer; and</w:t>
      </w:r>
    </w:p>
    <w:p>
      <w:pPr>
        <w:pStyle w:val="TextBody"/>
        <w:bidi w:val="0"/>
        <w:spacing w:lineRule="auto" w:line="333" w:before="0" w:after="120"/>
        <w:ind w:left="0" w:right="0" w:firstLine="2880"/>
        <w:jc w:val="both"/>
        <w:rPr/>
      </w:pPr>
      <w:r>
        <w:rPr>
          <w:rFonts w:ascii="Times New Roman;serif" w:hAnsi="Times New Roman;serif"/>
          <w:b w:val="false"/>
          <w:color w:val="000000"/>
          <w:sz w:val="24"/>
        </w:rPr>
        <w:t xml:space="preserve">(vi)    the entering into a trading plan pursuant to Rule 10b5-1 under the Exchange Act, with a broker or other nominee;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sale of such shares of Class B Common Stock pursuant to such plan shall constitute a “Transfer” at the time of such sale.</w:t>
      </w:r>
    </w:p>
    <w:p>
      <w:pPr>
        <w:pStyle w:val="TextBody"/>
        <w:bidi w:val="0"/>
        <w:spacing w:lineRule="auto" w:line="333" w:before="0" w:after="240"/>
        <w:ind w:left="0" w:right="0" w:firstLine="2160"/>
        <w:jc w:val="both"/>
        <w:rPr/>
      </w:pPr>
      <w:r>
        <w:rPr>
          <w:rFonts w:ascii="Times New Roman;serif" w:hAnsi="Times New Roman;serif"/>
          <w:b w:val="false"/>
          <w:color w:val="000000"/>
          <w:sz w:val="24"/>
        </w:rPr>
        <w:t>9.16    “</w:t>
      </w:r>
      <w:r>
        <w:rPr>
          <w:rFonts w:ascii="Times New Roman;serif" w:hAnsi="Times New Roman;serif"/>
          <w:b/>
          <w:i/>
          <w:color w:val="000000"/>
          <w:sz w:val="24"/>
        </w:rPr>
        <w:t>Voting Control</w:t>
      </w:r>
      <w:r>
        <w:rPr>
          <w:color w:val="000000"/>
        </w:rPr>
        <w:t xml:space="preserve">” </w:t>
      </w:r>
      <w:r>
        <w:rPr>
          <w:rFonts w:ascii="Times New Roman;serif" w:hAnsi="Times New Roman;serif"/>
          <w:b w:val="false"/>
          <w:color w:val="000000"/>
          <w:sz w:val="24"/>
        </w:rPr>
        <w:t>means, with respect to a share of Class B Common Stock, the power (whether exclusive or shared) to vote or direct the voting of such share by proxy, voting agreement or otherwise.</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Preferred Stock</w:t>
      </w:r>
      <w:r>
        <w:rPr>
          <w:rFonts w:ascii="Times New Roman;serif" w:hAnsi="Times New Roman;serif"/>
          <w:b w:val="false"/>
          <w:color w:val="000000"/>
          <w:sz w:val="24"/>
        </w:rPr>
        <w: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Shares of Preferred Stock may be issued from time to time in one or more series, each of such series to have such terms as stated or expressed herein and in the resolution or resolutions providing for the creation and issuance of such series adopted by the Board as hereinafter provided. For all purposes, this Restated Certificate shall include each statement of resolution (if any) setting forth the terms of a series of Preferred Stock.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statement of resolution relating thereto in accordance with the applicable law of the State of Texas,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rights and liquidation preferences, and to increase or decrease (but not below the number of shares of such series then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outstanding) the number of shares of any series as shall be stated and expressed in such resolutions, all to the fullest extent now or hereafter permitted by the TBOC.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statement of resolution relating to such series of Preferred Stock). Except as otherwise required by law, holders of any series of Preferred Stock shall be entitled only to such voting rights, if any, as shall expressly be granted thereto by this Restated Certificate (including any statement of resolution relating to such series of Preferred Stock). Any shares of Preferred Stock that may be redeemed, purchased or acquired by the Corporation may be reissued except as otherwise provided by law or by the terms of any series of Preferred Stock.</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management of the business and for the conduct of the affairs of the Corporation it is further provided that: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General Powers</w:t>
      </w:r>
      <w:r>
        <w:rPr>
          <w:rFonts w:ascii="Times New Roman;serif" w:hAnsi="Times New Roman;serif"/>
          <w:b w:val="false"/>
          <w:color w:val="000000"/>
          <w:sz w:val="24"/>
        </w:rPr>
        <w:t xml:space="preserve">. The business and affairs of the Corporation will be managed by or under the direction of the Board. </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Number of Directors; Election of Directors</w:t>
      </w:r>
      <w:r>
        <w:rPr>
          <w:rFonts w:ascii="Times New Roman;serif" w:hAnsi="Times New Roman;serif"/>
          <w:b w:val="false"/>
          <w:color w:val="000000"/>
          <w:sz w:val="24"/>
        </w:rPr>
        <w:t>. Subject to the rights of the holders of any series of Preferred Stock to elect directors, the number of directors that constitutes the entire Board shall be fixed solely in the manner set forth in the Bylaws of the Corporation. Each director will be entitled to one vote on each matter presented to the Board. Elections of directors need not be by written ballot unless otherwise provided in the Bylaws.</w:t>
      </w:r>
    </w:p>
    <w:p>
      <w:pPr>
        <w:pStyle w:val="TextBody"/>
        <w:bidi w:val="0"/>
        <w:spacing w:lineRule="auto" w:line="333"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Term and Removal</w:t>
      </w:r>
      <w:r>
        <w:rPr>
          <w:rFonts w:ascii="Times New Roman;serif" w:hAnsi="Times New Roman;serif"/>
          <w:b w:val="false"/>
          <w:color w:val="000000"/>
          <w:sz w:val="24"/>
        </w:rPr>
        <w:t xml:space="preserve">. Subject to the rights of the holders of any series of Preferred Stock to elect directors, each director shall hold office until the annual meeting at which such director’s term expires and until his or her successor is duly elected and qualified, or until his or her earlier death, resignation, disqualification or removal. No decrease in the number of directors shall shorten the term of any incumbent director. Subject to the rights of the holders of any series of Preferred Stock to elect directors, the Board or any individual director may be removed from office at any time with or without cause by the affirmative vote of the holders of capital stock representing a majority of the voting power of all of the then outstanding shares of capital stock of the Corporation entitled to vote thereon, voting together as a single class;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from and after the date on which the outstanding shares of the Class B Common Stock represent less than a majority of the combined voting power of the then-outstanding Class A Common Stock and Class B Common Stock entitled to vote (such date, the “</w:t>
      </w:r>
      <w:r>
        <w:rPr>
          <w:rFonts w:ascii="Times New Roman;serif" w:hAnsi="Times New Roman;serif"/>
          <w:b/>
          <w:i/>
          <w:color w:val="000000"/>
          <w:sz w:val="24"/>
        </w:rPr>
        <w:t>Trigger Date</w:t>
      </w:r>
      <w:r>
        <w:rPr>
          <w:color w:val="000000"/>
        </w:rPr>
        <w:t>”</w:t>
      </w:r>
      <w:r>
        <w:rPr>
          <w:rFonts w:ascii="Times New Roman;serif" w:hAnsi="Times New Roman;serif"/>
          <w:b w:val="false"/>
          <w:color w:val="000000"/>
          <w:sz w:val="24"/>
        </w:rPr>
        <w:t xml:space="preserve">), the Board or any individual director may be removed from office at any time and only for cause by the affirmative vote of the holders of capital stock representing a majority of the voting power of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all of the then outstanding shares of capital stock of the Corporation entitled to vote thereon, voting together as a single class.</w:t>
      </w:r>
    </w:p>
    <w:p>
      <w:pPr>
        <w:pStyle w:val="TextBody"/>
        <w:bidi w:val="0"/>
        <w:spacing w:lineRule="auto" w:line="333"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Vacancies and Newly Created Directorships</w:t>
      </w:r>
      <w:r>
        <w:rPr>
          <w:rFonts w:ascii="Times New Roman;serif" w:hAnsi="Times New Roman;serif"/>
          <w:b w:val="false"/>
          <w:color w:val="000000"/>
          <w:sz w:val="24"/>
        </w:rPr>
        <w:t>. Subject to the rights of the holders of any series of Preferred Stock to elect directors, and except as otherwise provided by the TBOC, vacancies resulting from the death, resignation, disqualification or removal of any director may be filled by a majority of the directors then in office, although less than a quorum, or by a sole remaining director, or by election at an annual or special meeting of shareholders called for that purpose; provided, that any director so elected shall hold office for the remainder of the unexpired term of the director’s predecessor. Newly created directorships resulting from any increase in the authorized number of directors may be filled by election at an annual or special meeting of shareholders called for that purpose or by the Board; provided, that any director elected by the Board to fill such a newly created directorship shall hold office only until the next election of one or more directors by the shareholders; provided, however, that for so long as the TBOC prohibits such action, the Board may not fill more than two such directorships during the period between any two successive annual meetings of shareholders.</w:t>
      </w:r>
    </w:p>
    <w:p>
      <w:pPr>
        <w:pStyle w:val="TextBody"/>
        <w:bidi w:val="0"/>
        <w:spacing w:lineRule="auto" w:line="333"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Preferred Stock Directors</w:t>
      </w:r>
      <w:r>
        <w:rPr>
          <w:rFonts w:ascii="Times New Roman;serif" w:hAnsi="Times New Roman;serif"/>
          <w:b w:val="false"/>
          <w:color w:val="000000"/>
          <w:sz w:val="24"/>
        </w:rPr>
        <w:t xml:space="preserve">. Whenever the holders of any series of Preferred Stock issued by the Corporation shall have the right as provided for herein (including any statement of resolution relating to any series of Preferred Stock), voting separately as a series or separately as a class with one or more such other series, to elect directors, the election, term of office, removal and other features of such directorships shall be governed by the terms of this Restated Certificate (including any statement of resolution relating to any series of Preferred Stock). Notwithstanding anything to the contrary in this Part E of this Article V, during the period when the holders of any series of Preferred Stock issued by the Corporation shall have the right to elect additional directors, the number of directors to be elected by the holders of any such series of Preferred Stock shall be in addition to the number fixed pursuant to Part B of this Article V, and the total number of directors constituting the entire Board shall be automatically increased by such number of directors to be elected by the holders of any such series of Preferred Stock and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in any statement of resolution in respect of any series of Preferred Stock, whenever the holders of any series of Preferred Stock having such right to elect additional directors are divested of such right pursuant to the provisions of this Restated Certificate (including any statement of resolution relating to any series of Preferred Stock), the terms of office of all such additional directors elected by the holders of such series of Preferred Stock, or elected to fill any vacancies resulting from the death, resignation, disqualification or removal of such additional directors, shall forthwith terminate (in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which case each such director thereupon shall cease to be qualified as, and shall cease to be, a director) and the total authorized number of directors of the Corporation shall automatically be reduced accordingly.</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Limitation of Personal Liability.</w:t>
      </w:r>
      <w:r>
        <w:rPr>
          <w:color w:val="000000"/>
        </w:rPr>
        <w:t xml:space="preserve"> </w:t>
      </w:r>
      <w:r>
        <w:rPr>
          <w:rFonts w:ascii="Times New Roman;serif" w:hAnsi="Times New Roman;serif"/>
          <w:b w:val="false"/>
          <w:color w:val="000000"/>
          <w:sz w:val="24"/>
        </w:rPr>
        <w:t xml:space="preserve">To the fullest extent permitted by the TBOC, a director or officer of the Corporation shall not be liable to the Corporation or its shareholders for monetary damages for breach of fiduciary duty as a director or officer, except to the extent such exemption from liability or limitation thereof is not permitted under the TBOC as the same exists or may hereafter be amended. If the TBOC is amended to authorize corporate action further eliminating or limiting the personal liability of directors or officers, then the liability of a director or officer of the Corporation shall be eliminated or limited to the fullest extent permitted by the TBOC as so amended. </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To the fullest extent permitted by the TBOC, as the same now exists or may hereafter be amended, substituted, or replaced, the Corporation is authorized to indemnify, and provide advancement of expenses to, its directors, officers, employees and agents (and any other persons to which the TBOC permits the Corporation to provide indemnification) through provisions in the Bylaws of the Corporation, agreements with such directors, officers, employees, agents (or other persons) or otherwise. </w:t>
      </w:r>
    </w:p>
    <w:p>
      <w:pPr>
        <w:pStyle w:val="TextBody"/>
        <w:bidi w:val="0"/>
        <w:spacing w:lineRule="auto" w:line="333"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Amendments to Article VI</w:t>
      </w:r>
      <w:r>
        <w:rPr>
          <w:rFonts w:ascii="Times New Roman;serif" w:hAnsi="Times New Roman;serif"/>
          <w:b w:val="false"/>
          <w:color w:val="000000"/>
          <w:sz w:val="24"/>
        </w:rPr>
        <w:t>. Any amendment, repeal or modification of the foregoing provisions of this Article VI will not adversely affect any right or protection of a director, officer, employee, agent, or other person existing at the time of, or increase the liability of any director, officer, employee, agent or other person of the Corporation with respect to, any acts or omissions of such director, officer, employee, agent or other person occurring prior to, such amendment, repeal or modification.</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Meetings of shareholders may be held within or without the State of Texas, as the Bylaws of the Corporation may provide. To the extent permitted by the TBOC, the books of the Corporation may be kept outside the State of Texas at such place or places as may be designated from time to time by the Board or in the Bylaws of the Corporation.</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Consent of Shareholders in Lieu of Meeting</w:t>
      </w:r>
      <w:r>
        <w:rPr>
          <w:rFonts w:ascii="Times New Roman;serif" w:hAnsi="Times New Roman;serif"/>
          <w:b w:val="false"/>
          <w:color w:val="000000"/>
          <w:sz w:val="24"/>
        </w:rPr>
        <w:t xml:space="preserve">. Prior to the Trigger Date, any action required or permitted by the TBOC to be taken by the shareholders may be taken without a meeting, without prior notice and without a vote, if a consent or consents in writing, setting forth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the action so taken, shall be signed by the holders of the outstanding capital stock of the Corporation representing not less than the minimum number of votes that would be necessary to authorize or take such action at a meeting at which all shares entitled to vote thereon were present and voted. From and after the Trigger Date, any action required or permitted by the TBOC to be taken at any annual or special meeting of shareholders may be taken without a meeting, without prior notice and without a vote, only if a consent or consents in writing, setting forth the action so taken, shall be signed by all holders of shares entitled to vote on such action. Any such action taken by written consent pursuant to this Part A of Article VIII shall be delivered to the Corporation at its principal office.</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Except as otherwise expressly provided by the terms of any series of Preferred Stock permitting the holders of such series of Preferred Stock to call a special meeting of the holders of such series, special meetings of the shareholders of the Corporation may be called, for any purpose or purposes, at any time only by or at the direction of (i) the Board, (ii) the Chair of the Board, (iii) the President, (iv) the Chief Executive Officer, or the</w:t>
      </w:r>
      <w:r>
        <w:rPr>
          <w:color w:val="000000"/>
        </w:rPr>
        <w:t xml:space="preserve"> </w:t>
      </w:r>
      <w:r>
        <w:rPr>
          <w:rFonts w:ascii="Times New Roman;serif" w:hAnsi="Times New Roman;serif"/>
          <w:b w:val="false"/>
          <w:color w:val="000000"/>
          <w:sz w:val="24"/>
        </w:rPr>
        <w:t>Secretary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holders of the greater of (a) at least fifty percent (50%) and (b) the highest percentage of ownership that may be set under the TBOC of the voting power of all the shares of capital stock of the Corporation entitled to vote at the proposed special meeting. Notwithstanding the forgoing sentence, if at any point, the TBOC is amended to authorize corporate action further eliminating or limiting the ability of shareholders to call special meetings, then the ability of shareholders to call special meetings shall be eliminated or limited to the fullest extent permitted by the TBOC as so amended. The Board may postpone or reschedule any previously scheduled special meeting at any time, before or after the notice for such meeting has been sent to the shareholders.</w:t>
      </w:r>
    </w:p>
    <w:p>
      <w:pPr>
        <w:pStyle w:val="TextBody"/>
        <w:bidi w:val="0"/>
        <w:spacing w:lineRule="auto" w:line="333"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Advance Notice</w:t>
      </w:r>
      <w:r>
        <w:rPr>
          <w:rFonts w:ascii="Times New Roman;serif" w:hAnsi="Times New Roman;serif"/>
          <w:b w:val="false"/>
          <w:color w:val="000000"/>
          <w:sz w:val="24"/>
        </w:rPr>
        <w:t>. Advance notice of shareholder nominations for the election of directors and of other business proposed to be brought by shareholders before any meeting of shareholders of the Corporation, as well as any requests made to the Secretary of the Corporation to call special meetings of the shareholders of the Corporation, shall be given in the manner provided in the Bylaws of the Corporation.</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 xml:space="preserve">Forum Selection; Jury Trial Waiver. </w:t>
      </w:r>
      <w:r>
        <w:rPr>
          <w:rFonts w:ascii="Times New Roman;serif" w:hAnsi="Times New Roman;serif"/>
          <w:b w:val="false"/>
          <w:color w:val="000000"/>
          <w:sz w:val="24"/>
        </w:rPr>
        <w:t>Any person or entity purchasing or otherwise acquiring or holding any interest in shares of stock of the Corporation shall be deemed to have notice of, and consented to, the exclusive forum and dispute resolution provisions contained in Article XI of the Bylaws of the Corporation.</w:t>
      </w:r>
    </w:p>
    <w:p>
      <w:pPr>
        <w:pStyle w:val="TextBody"/>
        <w:bidi w:val="0"/>
        <w:spacing w:lineRule="auto" w:line="333"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 xml:space="preserve">TO THE FULLEST EXTENT PERMITTED BY APPLICABLE LAW, ANY PERSON OR ENTITY PURCHASING OR OTHERWISE ACQUIRING OR HOLDING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33" w:before="0" w:after="240"/>
        <w:jc w:val="both"/>
        <w:rPr>
          <w:rFonts w:ascii="Times New Roman;serif" w:hAnsi="Times New Roman;serif"/>
          <w:b/>
          <w:color w:val="000000"/>
          <w:sz w:val="24"/>
        </w:rPr>
      </w:pPr>
      <w:r>
        <w:rPr>
          <w:rFonts w:ascii="Times New Roman;serif" w:hAnsi="Times New Roman;serif"/>
          <w:b/>
          <w:color w:val="000000"/>
          <w:sz w:val="24"/>
        </w:rPr>
        <w:t xml:space="preserve">ANY INTEREST IN SHARES OF STOCK OF THE CORPORATION SHALL BE DEEMED TO HAVE IRREVOCABLY AND UNCONDITIONALLY WAIVED ANY RIGHT IT MAY HAVE TO A TRIAL BY JURY IN ANY LEGAL ACTION, PROCEEDING, CAUSE OF ACTION OR COUNTERCLAIM ASSERTING AN “INTERNAL ENTITY CLAIM” AS THAT TERM IS DEFINED IN SECTION 2.115 OF THE TBOC, AND TO THE FULLEST EXTENT PERMITTED BY APPLICABLE LAW AS IT PRESENTLY EXISTS OR MAY HEREAFTER BE AMENDED, ANY OTHER LEGAL ACTION, PROCEEDING, CAUSE OF ACTION OR COUNTERCLAIM WITHIN THE SCOPE OF THE EXCLUSIVE FORUM SET FORTH IN ARTICLE XI OF THE BYLAWS OF THE CORPORATION. </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Third-Party Beneficiaries.</w:t>
      </w:r>
      <w:r>
        <w:rPr>
          <w:color w:val="000000"/>
        </w:rPr>
        <w:t xml:space="preserve"> </w:t>
      </w:r>
      <w:r>
        <w:rPr>
          <w:rFonts w:ascii="Times New Roman;serif" w:hAnsi="Times New Roman;serif"/>
          <w:b w:val="false"/>
          <w:color w:val="000000"/>
          <w:sz w:val="24"/>
        </w:rPr>
        <w:t xml:space="preserve">This Article IX is intended to benefit and may be enforced by the Corporation, its officers and directors, the underwriters of, or financial advisors in connection with any offering giving rise to such complaint, and any other professional or entity whose profession gives authority to a statement made by that person or entity and who has prepared or certified any part of the documents underlying the offering. </w:t>
      </w:r>
    </w:p>
    <w:p>
      <w:pPr>
        <w:pStyle w:val="TextBody"/>
        <w:bidi w:val="0"/>
        <w:spacing w:lineRule="auto" w:line="333"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or provisions of this Restated Certificate, including, without limitation, Article IX, is held to be invalid, illegal or unenforceable as applied to any person or circumstance for any reason whatsoever, then, to the fullest extent permitted by law,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and the application of such provision to other persons or entities and circumstances will not in any way be affected or impaired thereby and (ii) the provisions of this Restated Certificate (including, without limitation, each portion of any paragraph of this Restated Certificate containing any such provision held to be invalid, illegal or unenforceable that is not itself held to be invalid, illegal or unenforceable) will be construed so as to permit the Corporation to protect its directors, officers, employees and agents from personal liability in respect of their good faith service to or for the benefit of the Corporation to the fullest extent permitted by law.</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Amendment of the Certificate of Formation</w:t>
      </w:r>
      <w:r>
        <w:rPr>
          <w:rFonts w:ascii="Times New Roman;serif" w:hAnsi="Times New Roman;serif"/>
          <w:b w:val="false"/>
          <w:color w:val="000000"/>
          <w:sz w:val="24"/>
        </w:rPr>
        <w:t xml:space="preserve">. The Corporation reserves the right to amend, alter, change, adopt or repeal any provision contained in this Restated Certificate, in the manner now or hereafter prescribed by this Restated Certificate and the TBOC, and all rights conferred upon shareholders herein are granted subject to this reservation; </w:t>
      </w:r>
      <w:r>
        <w:rPr>
          <w:rFonts w:ascii="Times New Roman;serif" w:hAnsi="Times New Roman;serif"/>
          <w:b w:val="false"/>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notwithstanding any other provision of this Restated Certificate or any provision of law that might otherwise permit a lesser vote or no vote, but in addition to any vote of the holders of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 xml:space="preserve">shares of any class or series of capital stock of the Corporation required by law or by this Restated Certificate, the affirmative vote of the holders of (a) prior to the Trigger Date, at least a majority of the voting power of all of the then outstanding shares of capital stock of the Corporation entitled to vote thereon, voting together as a single class, and (b) from and after the Trigger Date, at least 66 2/3% of the voting power of all of the then outstanding shares of capital stock of the Corporation entitled to vote thereon, voting together as a single class, in each case with any shares of a class or series that does not otherwise have a right to vote under this Restated Certificate being treated as having no votes in the vote as a single class to the greatest extent permitted by applicable law, shall be required to amend or repeal, or adopt any provision of this Restated Certificate inconsistent with </w:t>
      </w:r>
      <w:r>
        <w:rPr>
          <w:rFonts w:ascii="Times New Roman;serif" w:hAnsi="Times New Roman;serif"/>
          <w:b w:val="false"/>
          <w:color w:val="000000"/>
          <w:sz w:val="24"/>
          <w:u w:val="single"/>
        </w:rPr>
        <w:t>Articles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IX</w:t>
      </w:r>
      <w:r>
        <w:rPr>
          <w:rFonts w:ascii="Times New Roman;serif" w:hAnsi="Times New Roman;serif"/>
          <w:b w:val="false"/>
          <w:color w:val="000000"/>
          <w:sz w:val="24"/>
        </w:rPr>
        <w:t xml:space="preserve">, and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for so long as any shares of Class B Common Stock remain outstanding, the Corporation shall not, without the prior affirmative vote of the holders of at least a majority of the voting power of the outstanding shares of Class B Common Stock, voting as a separate class, in addition to any other vote required by law or this Restated Certificate, directly or indirectly, amend, alter, change, repeal or adopt any provision inconsistent with Part A of </w:t>
      </w:r>
      <w:r>
        <w:rPr>
          <w:rFonts w:ascii="Times New Roman;serif" w:hAnsi="Times New Roman;serif"/>
          <w:b w:val="false"/>
          <w:color w:val="000000"/>
          <w:sz w:val="24"/>
          <w:u w:val="single"/>
        </w:rPr>
        <w:t xml:space="preserve">Article IV </w:t>
      </w:r>
      <w:r>
        <w:rPr>
          <w:rFonts w:ascii="Times New Roman;serif" w:hAnsi="Times New Roman;serif"/>
          <w:b w:val="false"/>
          <w:color w:val="000000"/>
          <w:sz w:val="24"/>
        </w:rPr>
        <w:t xml:space="preserve">or this proviso of this Part A of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Amendment of Bylaws</w:t>
      </w:r>
      <w:r>
        <w:rPr>
          <w:rFonts w:ascii="Times New Roman;serif" w:hAnsi="Times New Roman;serif"/>
          <w:b w:val="false"/>
          <w:color w:val="000000"/>
          <w:sz w:val="24"/>
        </w:rPr>
        <w:t>. Except as otherwise provided in this Restated Certificate, in furtherance and not in limitation of the powers conferred upon it by the TBOC, the Board is expressly authorized to adopt, amend, alter or repeal any or all of the Bylaws of the Corporation. The shareholders may not adopt, amend, alter or repeal the Bylaws of the Corporation unless such action is approved, in addition to any other vote required by this Restated Certificate, by the affirmative vote of the holders of (a) prior to the Trigger Date, at least a majority of the voting power of all of the then outstanding shares of capital stock of the Corporation entitled to vote thereon, voting together as a single class, and (b) from and after the Trigger Date, at least 66 2/3% of the voting power of all of the then outstanding shares of capital stock of the Corporation entitled to vote thereon, voting together as a single class.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affirmatively elects to be governed by Section 21.419 of the TBOC, and any successor provision thereto, regarding the standard of conduct applicable to directors and officers of the Corporation.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shareholders do not have statutory preemptive rights.</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before="0" w:after="4000"/>
        <w:jc w:val="left"/>
        <w:rPr/>
      </w:pPr>
      <w:r>
        <w:rPr/>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 xml:space="preserve">Bylaws of </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Orion180 Insurance Group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 Texas corporation)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 of September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272"/>
        <w:gridCol w:w="238"/>
        <w:gridCol w:w="238"/>
        <w:gridCol w:w="287"/>
        <w:gridCol w:w="238"/>
        <w:gridCol w:w="238"/>
        <w:gridCol w:w="2728"/>
        <w:gridCol w:w="2602"/>
        <w:gridCol w:w="2758"/>
        <w:gridCol w:w="176"/>
        <w:gridCol w:w="176"/>
        <w:gridCol w:w="254"/>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 - Corporate Offices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Office.</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Offices.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 - Meetings of Shareholders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Place of Meetings.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Annual Meeting.</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2.3</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Meeting.</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2.4</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Business to be Brought before a Meeting.</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2.5</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Nominations for Election to the Board of Directors.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2.6</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Requirements for Valid Nomination of Candidates to Serve as Director and, if Elected, to be Seated as Directors.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2.7</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Shareholders’ Meetings.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2.8</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Quorum.</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2.9</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Adjourned Meeting; Notice.</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2.10</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Conduct of Business.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2.11</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Voting.</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2.12</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Record Date for Shareholder Meetings and Other Purposes.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2.13</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Proxies.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2.14</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List of Shareholders Entitled to Vote.</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2.15</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Inspectors of Election.</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2.16</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Delivery to the Corporation.</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III - Directors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Powers.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Number of Directors.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Election, Qualification and Term of Office of Directors.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Resignation and Vacancies.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3.5</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Place of Meetings; Meetings by Telephone.</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Regular Meetings.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3.7</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Meetings; Notice.</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3.8</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Quorum.</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3.9</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Board Action without a Meeting.</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3.10</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Fees and Compensation of Directors.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IV - Committees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8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Committees of Directors.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tbl>
      <w:tblPr>
        <w:tblW w:w="6509"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1749"/>
        <w:gridCol w:w="1749"/>
        <w:gridCol w:w="175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Committee Minutes.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Meetings and Actions of Committees.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4.4</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Subcommittees.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 -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Appointment of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5.3</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Subordinate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5.4</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Removal and Resignation of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5.5</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Vacancies in Offices.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5.6</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Representation of Shares of Other Corporations.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5.7</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Authority and Duties of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5.8</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Compensation.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 - Records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 - General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Execution of Corporate Contracts and Instruments.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7.2</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Stock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7.3</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Designation of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Lost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7.5</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Shares Without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7.6</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Construction;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Dividends.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Fiscal Year.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7.9</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7.10</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Transfer of Stock.</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7.11</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Stock Transfer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7.12</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Shareholders.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7.13</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7.14</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7.15</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Inconsistent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VIII -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Delivery of Notice; Notice by Electronic Transmission.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IX -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 of Directors and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9.2</w:t>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 of Others.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tbl>
      <w:tblPr>
        <w:tblW w:w="4798"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1219"/>
        <w:gridCol w:w="1219"/>
        <w:gridCol w:w="122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9.3</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Prepayment of Expenses.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9.4</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Determination; Claim.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9.5</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 Exclusivity of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9.6</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9.7</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9.8</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Continuation of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or Repeal; Interpretation.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X - Amendments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XI - Dispute Resolution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XII - Derivative Actions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XIII -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Bylaws of Orion180 Insurance Group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 - Corporate Offices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Registered Office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address of the registered office of Orion180 Insurance Group Inc. (the “</w:t>
      </w:r>
      <w:r>
        <w:rPr>
          <w:rFonts w:ascii="Times New Roman;serif" w:hAnsi="Times New Roman;serif"/>
          <w:b w:val="false"/>
          <w:color w:val="000000"/>
          <w:sz w:val="22"/>
          <w:u w:val="single"/>
        </w:rPr>
        <w:t>Corporation</w:t>
      </w:r>
      <w:r>
        <w:rPr>
          <w:color w:val="000000"/>
        </w:rPr>
        <w:t>”</w:t>
      </w:r>
      <w:r>
        <w:rPr>
          <w:rFonts w:ascii="Times New Roman;serif" w:hAnsi="Times New Roman;serif"/>
          <w:b w:val="false"/>
          <w:color w:val="000000"/>
          <w:sz w:val="22"/>
        </w:rPr>
        <w:t>) in the State of Texas, and the name of its registered agent at such address, shall be as set forth in the Corporation’s certificate of formation, as the same may be amended and/or restated from time to time (the “</w:t>
      </w:r>
      <w:r>
        <w:rPr>
          <w:rFonts w:ascii="Times New Roman;serif" w:hAnsi="Times New Roman;serif"/>
          <w:b w:val="false"/>
          <w:color w:val="000000"/>
          <w:sz w:val="22"/>
          <w:u w:val="single"/>
        </w:rPr>
        <w:t>Certificate of Formation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Other Offices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Corporation may have additional offices at any place or places, within or outside the State of Texas, as the Corporation’s board of directors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may from time to time establish or as the business of the Corporation may require.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 - Meetings of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Place of Meetings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Meetings of shareholders shall be held at any place within or outside the State of Texas, designated by the Board. The Board may, in its sole discretion, determine that a meeting of shareholders shall not be held at any place, but may instead be held solely by means of remote communication as authorized by the Texas Business Organizations Code (the “</w:t>
      </w:r>
      <w:r>
        <w:rPr>
          <w:rFonts w:ascii="Times New Roman;serif" w:hAnsi="Times New Roman;serif"/>
          <w:b w:val="false"/>
          <w:color w:val="000000"/>
          <w:sz w:val="22"/>
          <w:u w:val="single"/>
        </w:rPr>
        <w:t>TBOC</w:t>
      </w:r>
      <w:r>
        <w:rPr>
          <w:color w:val="000000"/>
        </w:rPr>
        <w:t>”</w:t>
      </w:r>
      <w:r>
        <w:rPr>
          <w:rFonts w:ascii="Times New Roman;serif" w:hAnsi="Times New Roman;serif"/>
          <w:b w:val="false"/>
          <w:color w:val="000000"/>
          <w:sz w:val="22"/>
        </w:rPr>
        <w:t>). In the absence of any such designation or determination, shareholders’ meetings shall be held at the Corporation’s principal executive office.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Annual Meeting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shall designate the date and time of the annual meeting of shareholders. At the annual meeting of shareholders, directors shall be elected and other proper business properly brought before the meeting in accordance with Section 2.4 of these Bylaws may be transacted. The Board may postpone, reschedule or cancel any previously scheduled annual meeting of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2.3    </w:t>
      </w:r>
      <w:r>
        <w:rPr>
          <w:rFonts w:ascii="Times New Roman;serif" w:hAnsi="Times New Roman;serif"/>
          <w:b w:val="false"/>
          <w:color w:val="000000"/>
          <w:sz w:val="22"/>
          <w:u w:val="single"/>
        </w:rPr>
        <w:t>Special Meeting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Special meetings of shareholders may be called only by such persons and only in such manner as set forth in the Certificate of Incorporation.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business may be transacted at any special meeting of shareholders other than the business specified in the notice of such meeting. The Board may postpone or reschedule any previously scheduled special meeting of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2.4    </w:t>
      </w:r>
      <w:r>
        <w:rPr>
          <w:rFonts w:ascii="Times New Roman;serif" w:hAnsi="Times New Roman;serif"/>
          <w:b w:val="false"/>
          <w:color w:val="000000"/>
          <w:sz w:val="22"/>
          <w:u w:val="single"/>
        </w:rPr>
        <w:t>Notice of Business to be Brought before a Meeting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At an annual meeting of the shareholders, only such business (other than the nomination of persons for election to the Board) shall be conducted as shall have been properly brought before the meeting pursuant to and in accordance with this Section 2.4. To be properly brought before an annual meeting, business must be (i) specified in a notice of meeting given by or at the direction of the Board,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including by any committee or persons authorized to do so by the Board or these Bylaws, (ii) if not specified in a notice of meeting, otherwise brought before the meeting by the Board or (iii) otherwise properly brought before the meeting by a shareholder present in person who (A) (1) was a record owner of shares of the Corporation both at the time of giving the notice to the Corporation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serif" w:hAnsi="Times New Roman;serif"/>
          <w:b w:val="false"/>
          <w:color w:val="000000"/>
          <w:sz w:val="22"/>
          <w:u w:val="single"/>
        </w:rPr>
        <w:t>Exchan</w:t>
      </w:r>
      <w:r>
        <w:rPr>
          <w:rFonts w:ascii="Times New Roman;serif" w:hAnsi="Times New Roman;serif"/>
          <w:b w:val="false"/>
          <w:color w:val="000000"/>
          <w:sz w:val="22"/>
        </w:rPr>
        <w:t>g</w:t>
      </w:r>
      <w:r>
        <w:rPr>
          <w:rFonts w:ascii="Times New Roman;serif" w:hAnsi="Times New Roman;serif"/>
          <w:b w:val="false"/>
          <w:color w:val="000000"/>
          <w:sz w:val="22"/>
          <w:u w:val="single"/>
        </w:rPr>
        <w:t>e Act</w:t>
      </w:r>
      <w:r>
        <w:rPr>
          <w:color w:val="000000"/>
        </w:rPr>
        <w:t>”</w:t>
      </w:r>
      <w:r>
        <w:rPr>
          <w:rFonts w:ascii="Times New Roman;serif" w:hAnsi="Times New Roman;serif"/>
          <w:b w:val="false"/>
          <w:color w:val="000000"/>
          <w:sz w:val="22"/>
        </w:rPr>
        <w:t>). The foregoing clause (iii) shall be the exclusive means for a shareholder to propose business (other than nominations of persons for election to the Board) to be brought before an annual meeting of the shareholders. The only matters that may be brought before a special meeting are the matters specified in the notice of meeting given by or at the direction of the person calling the meeting pursuant to Section 2.7, and shareholders shall not be permitted to propose business to be brought before a special meeting of the shareholders. For purposes of this Section 2.4, (i) “present in person” shall mean that the shareholder proposing that the business be brought before the annual meeting of the shareholders, or a qualified representative of such proposing shareholder, appear at such annual meeting, and (ii) a “qualified representative” of such proposing shareholder shall be a duly authorized officer, manager or partner of such shareholder or any other person authorized by a writing executed by such shareholder or an electronic transmission delivered by such shareholder to act for such shareholder as proxy at the annual meeting of shareholders and such person must produce such writing or electronic transmission, or a reliable reproduction of the writing or electronic transmission, at or before such annual meeting of shareholders. Shareholders seeking to nominate persons for election to the Board must comply with Section 2.5 and Section 2.6 and this Section 2.4 shall not be applicable to nominations except as expressly provided in Section 2.5 and Section 2.6.</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Without qualification, for business to be properly brought before an annual meeting of shareholders by a shareholder, such proposed business must constitute a proper matter for shareholder action and the shareholder must (i) provide Timely Notice (as defined below) thereof in writing and in proper form to the Secretary of the Corporation and (ii) provide any updates or supplements to such notice at the times and in the forms required by this Section 2.4. To be timely, a shareholder’s notice must be delivered to, or mailed and received at, the principal executive offices of the Corporation not less than ninety (90) days nor more than one hundred twenty (120) days prior to the one year anniversary of the preceding year’s annual meeting which, in the case of the first annual meeting of shareholders following the closing of the Corporation’s initial underwritten public offering of Class A Common Stock, the date of the preceding year’s annual meeting shall be deemed to be June 1; </w:t>
      </w:r>
      <w:r>
        <w:rPr>
          <w:rFonts w:ascii="Times New Roman;serif" w:hAnsi="Times New Roman;serif"/>
          <w:b w:val="false"/>
          <w:i/>
          <w:color w:val="000000"/>
          <w:sz w:val="22"/>
        </w:rPr>
        <w:t>provided, however</w:t>
      </w:r>
      <w:r>
        <w:rPr>
          <w:rFonts w:ascii="Times New Roman;serif" w:hAnsi="Times New Roman;serif"/>
          <w:b w:val="false"/>
          <w:color w:val="000000"/>
          <w:sz w:val="22"/>
        </w:rPr>
        <w:t>, that if the date of the annual meeting is more than thirty (30) days before or more than sixty (60) days after such anniversary date, notice by the shareholder to be timely must be so delivered, or mailed and received at, the principal executive offices of the Corporation, not more than the one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w:t>
      </w:r>
      <w:r>
        <w:rPr>
          <w:rFonts w:ascii="Times New Roman;serif" w:hAnsi="Times New Roman;serif"/>
          <w:b w:val="false"/>
          <w:color w:val="000000"/>
          <w:sz w:val="22"/>
          <w:u w:val="single"/>
        </w:rPr>
        <w:t>Timely Notice</w:t>
      </w:r>
      <w:r>
        <w:rPr>
          <w:color w:val="000000"/>
        </w:rPr>
        <w:t>”</w:t>
      </w:r>
      <w:r>
        <w:rPr>
          <w:rFonts w:ascii="Times New Roman;serif" w:hAnsi="Times New Roman;serif"/>
          <w:b w:val="false"/>
          <w:color w:val="000000"/>
          <w:sz w:val="22"/>
        </w:rPr>
        <w:t>). In no event shall any adjournment or postponement of an annual meeting or the announcement thereof commence a new time period (or extend any time period) for the giving of Timely Notice as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To be in proper form for purposes of this Section 2.4, a shareholder’s notice to the Secretary shall set forth:</w:t>
      </w:r>
    </w:p>
    <w:p>
      <w:pPr>
        <w:pStyle w:val="TextBody"/>
        <w:bidi w:val="0"/>
        <w:spacing w:lineRule="auto" w:line="288" w:before="0" w:after="240"/>
        <w:ind w:left="0" w:right="0" w:firstLine="720"/>
        <w:jc w:val="both"/>
        <w:rPr/>
      </w:pPr>
      <w:r>
        <w:rPr>
          <w:rFonts w:ascii="Times New Roman;serif" w:hAnsi="Times New Roman;serif"/>
          <w:b w:val="false"/>
          <w:color w:val="000000"/>
          <w:sz w:val="22"/>
        </w:rPr>
        <w:t>(i)    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of such shares and (E) any pledge by such Proposing Person with respect to any of such shares (the disclosures to be made pursuant to the foregoing clauses (A) through (E) are referred to as “</w:t>
      </w:r>
      <w:r>
        <w:rPr>
          <w:rFonts w:ascii="Times New Roman;serif" w:hAnsi="Times New Roman;serif"/>
          <w:b w:val="false"/>
          <w:color w:val="000000"/>
          <w:sz w:val="22"/>
          <w:u w:val="single"/>
        </w:rPr>
        <w:t>Shareholder Information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As to each Proposing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(“S</w:t>
      </w:r>
      <w:r>
        <w:rPr>
          <w:rFonts w:ascii="Times New Roman;serif" w:hAnsi="Times New Roman;serif"/>
          <w:b w:val="false"/>
          <w:color w:val="000000"/>
          <w:sz w:val="22"/>
          <w:u w:val="single"/>
        </w:rPr>
        <w:t>ynthetic Equity Position</w:t>
      </w:r>
      <w:r>
        <w:rPr>
          <w:color w:val="000000"/>
        </w:rPr>
        <w:t>”</w:t>
      </w:r>
      <w:r>
        <w:rPr>
          <w:rFonts w:ascii="Times New Roman;serif" w:hAnsi="Times New Roman;serif"/>
          <w:b w:val="false"/>
          <w:color w:val="000000"/>
          <w:sz w:val="22"/>
        </w:rPr>
        <w:t>) that is, directly or indirectly, held or maintained by, held for the benefit of, or involving such Proposing Person, including, without limitation,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any derivative or synthetic arrangement having the characteristics of a long position or a short position in any class or series of shares of capital stock of the Corporation, including, without limitation, a stock loan transaction, a stock borrowing transaction, or a share repurchase transaction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any contract, derivative, swap or other transaction or series of transactions designed 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    produce economic benefits and risks that correspond substantially to the ownership of any class or series of shares of capital stock of the 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    mitigate any loss relating to, reduce the economic risk (of ownership or otherwise) of, or manage the risk of share price decrease in, any class or series of shares of capital stock of the Corporation, or</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(z)    increase or decrease the voting power in respect of any class or series of shares of capital stock of the Corporation held or maintained by, held for the benefit of, or involving such Proposing Person,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w:t>
      </w:r>
      <w:r>
        <w:rPr>
          <w:rFonts w:ascii="Times New Roman;serif" w:hAnsi="Times New Roman;serif"/>
          <w:b w:val="false"/>
          <w:i/>
          <w:color w:val="000000"/>
          <w:sz w:val="22"/>
        </w:rPr>
        <w:t>and, provided, further, that</w:t>
      </w:r>
      <w:r>
        <w:rPr>
          <w:color w:val="000000"/>
        </w:rPr>
        <w:t xml:space="preserve"> </w:t>
      </w:r>
      <w:r>
        <w:rPr>
          <w:rFonts w:ascii="Times New Roman;serif" w:hAnsi="Times New Roman;serif"/>
          <w:b w:val="false"/>
          <w:color w:val="000000"/>
          <w:sz w:val="22"/>
        </w:rPr>
        <w:t>any Proposing Person satisfying the requirements of Rule 13d-l(b)(l) under the Exchange Act (other than a Proposing Person that so satisfies Rule 13d-l(b)(l) under the Exchange Act solely by reason of Rule 13d-l(b)(l)(ii)(E)) shall not be deemed to hold or maintain the notional amount of any securities that underlie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 description of any agreement, arrangement or understanding with respect to any rights to dividends on the shares of any class or series of shares of capital stock of the Corporation owned beneficially by such Proposing Person that are separated or separable from the underlying shares of capital stock of the 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material pending or threatened legal proceeding in which such Proposing Person is a party or material participant involving the Corporation or any of its officers or directors, or any affiliate of the 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any other material relationship between such Proposing Person, on the one hand, and the Corporation or any affiliate of the Corporation, on the other hand,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any direct or indirect material interest in any material contract or agreement of such Proposing Person with the Corporation or any affiliate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Corporation (including, in any such case, any employment agreement, collective bargaining agreement or consulting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shareholders in support of such proposal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annual meeting pursuant to Section 14(a) of the Exchange Act </w:t>
      </w:r>
    </w:p>
    <w:p>
      <w:pPr>
        <w:pStyle w:val="TextBody"/>
        <w:bidi w:val="0"/>
        <w:spacing w:lineRule="auto" w:line="288" w:before="0" w:after="240"/>
        <w:jc w:val="both"/>
        <w:rPr/>
      </w:pPr>
      <w:r>
        <w:rPr>
          <w:rFonts w:ascii="Times New Roman;serif" w:hAnsi="Times New Roman;serif"/>
          <w:b w:val="false"/>
          <w:color w:val="000000"/>
          <w:sz w:val="22"/>
        </w:rPr>
        <w:t>(the disclosures to be made pursuant to the foregoing clauses (a) through (h) are referred to as “</w:t>
      </w:r>
      <w:r>
        <w:rPr>
          <w:rFonts w:ascii="Times New Roman;serif" w:hAnsi="Times New Roman;serif"/>
          <w:b w:val="false"/>
          <w:color w:val="000000"/>
          <w:sz w:val="22"/>
          <w:u w:val="single"/>
        </w:rPr>
        <w:t>Disclosable Interests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Disclosable Interests shall not include any such disclosures with respect to the ordinary course business activities of any broker, dealer, commercial bank, trust company or other nominee who is a Proposing Person solely as a result of being the shareholder directed to prepare and submit the notice required by these Bylaws on behalf of a beneficial owner; and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    As to each item of business that the shareholder proposes to bring before the annual meeting of shareholders,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person or entity (including their names), in each case, in connection with the proposal of such business by such shareholder, and (D) any other information relating to such item of business that would be required to be disclosed in a proxy statement or other filing required to be made in connection with solicitations of proxies in support of the business proposed to be brought before the annual meeting pursuant to Section 14(a) of the Exchange Act;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disclosures required by this paragraph (iii) shall not include any disclosures with respect to any broker, dealer, commercial bank, trust company or other nominee who is a Proposing Person solely as a result of being the shareholder directed to prepare and submit the notice required by these Bylaws on behalf of a beneficial owner.</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Section 2.4, the term “Proposing Person” shall mean (i) the shareholder providing the notice of business proposed to be brought before an annual meeting of shareholders, (ii) the beneficial owner or beneficial owners, if different, on whose behalf the notice of the business proposed to be brought before the annual meeting is made, and (iii) any participant (as defined in paragraphs (a)(ii)(vi) of Instruction 3 to Item 4 of Schedule 14A) with such shareholder in such solicitation.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Board may request that any Proposing Person furnish such additional information as may be reasonably required by the Board. Such Proposing Person shall provide such additional information within ten (10) days after it has been requested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A Proposing Person shall update and supplement its notice to the Corporation of its intent to propose business at an annual meeting of shareholders, if necessary, so that the information provided or required to be provided in such notice pursuant to this Section 2.4 shall be true and correct as of the record date for shareholders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shareholders entitled to vote at the meeting in the case of the update and supplement required to be made as of such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the case of an adjournment or postponement, if it is not possible to deliver such update and supplement by such date due to an adjournment or postponement of the annual meeting that is less than eight (8) business days, such update or supplement shall be delivered on the first practicable date prior to the date to which such annual meeting has been adjourned or postponed. For the avoidance of doubt, the obligation to update and supplement as set forth in this paragraph or any other Section of these Bylaws shall not limit the Corporation’s rights with respect to any deficiencies in any notice provided by a shareholder, extend any applicable deadlines hereunder or enable or be deemed to permit a shareholder who has previously submitted notice hereunder to amend or update any proposal or to submit any new proposal, including by changing or adding matters, business or resolutions proposed to be brought before an annual meeting of the shareholders.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Notwithstanding anything in these Bylaws to the contrary, no business shall be conducted at an annual meeting of shareholders that is not properly brought before the meeting in accordance with this Section 2.4. The presiding officer of the meeting (or, in advance of any meeting of shareholders, the Board of Directors or an authorized committee thereof) shall, if the facts warrant, determine whether the business was properly brought before the meeting in accordance with this Section 2.4, and if the presiding officer or Board should determine any proposed business was not proposed in compliance with this Section 2.4, the presiding officer or the Board shall so declare to the meeting and any such business not properly brought before the meeting shall not be transacted.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This Section 2.4 is expressly intended to apply to any business proposed to be brought before an annual meeting of shareholders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shareholders to request inclusion of proposals in the Corporation’s proxy statement pursuant to Rule 14a-8 under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2.5    </w:t>
      </w:r>
      <w:r>
        <w:rPr>
          <w:rFonts w:ascii="Times New Roman;serif" w:hAnsi="Times New Roman;serif"/>
          <w:b w:val="false"/>
          <w:color w:val="000000"/>
          <w:sz w:val="22"/>
          <w:u w:val="single"/>
        </w:rPr>
        <w:t>Notice of Nominations for Election to the Board of Directors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Nominations of any person for election to the Board at an annual meeting of shareholders or at a special meeting of shareholders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shareholder present in person who (A) was a record owner of shares of capital stock the Corporation both at the time of giving the notice provided for in this Section 2.5 and at the time of the meeting, (B) is entitled to vote at the meeting, and (C) has complied with this Section 2.5 and Section 2.6 as to such notice and nomination. For purposes of this Section 2.5, (i) “present in person” shall mean that the shareholder nominating any person for election to the Board at the meeting of the Corporation, or a qualified representative of such shareholder, appear at such meeting and (ii) a “qualified representative” of such proposing shareholder shall be a duly authorized officer, manager or partner of such shareholder or any other person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meeting of shareholders. The foregoing clause (ii) shall be the exclusive means for a shareholder to make any nomination of a person or persons for election to the Board at an annual or special meeting of shareholders.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 Without qualification, in the case of an annual meeting of shareholders, for a shareholder to make any nomination of a person or persons for election to the Board at an annual meeting, the shareholder must (1) provide Timely Notice (as defined in Section 2.4) thereof in writing and in proper form to the Secretary of the Corporation, (2) provide the information, agreements and questionnaires with respect to such shareholder and its candidate for nomination as required to be set forth by this Section 2.5 and Section 2.6 and (3) provide any updates or supplements to such notice at the times and in the forms required by this Section 2.5 and Section 2.6.</w:t>
      </w:r>
    </w:p>
    <w:p>
      <w:pPr>
        <w:pStyle w:val="TextBody"/>
        <w:bidi w:val="0"/>
        <w:spacing w:lineRule="auto" w:line="288" w:before="0" w:after="240"/>
        <w:ind w:left="0" w:right="0" w:firstLine="720"/>
        <w:jc w:val="both"/>
        <w:rPr/>
      </w:pPr>
      <w:r>
        <w:rPr>
          <w:rFonts w:ascii="Times New Roman;serif" w:hAnsi="Times New Roman;serif"/>
          <w:b w:val="false"/>
          <w:color w:val="000000"/>
          <w:sz w:val="22"/>
        </w:rPr>
        <w:t>(ii)    Without qualification, if the election of directors is a matter specified in the notice of meeting given by or at the direction of the person calling a special meeting, then for a shareholder to make any nomination of a person or persons for election to the Board at a special meeting, the shareholder must (1) provide timely notice thereof in writing and in proper form to the Secretary of the Corporation at the principal executive offices of the Corporation, (2) provide the information with respect to each Nominating Person and each candidate for nomination as required by this Section 2.5 and Section 2.6 and (3) provide any updates or supplements to such notice at the times and in the forms required by this Section 2.5. To be timely, a shareholder’s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 (such notice within such time periods, “</w:t>
      </w:r>
      <w:r>
        <w:rPr>
          <w:rFonts w:ascii="Times New Roman;serif" w:hAnsi="Times New Roman;serif"/>
          <w:b w:val="false"/>
          <w:color w:val="000000"/>
          <w:sz w:val="22"/>
          <w:u w:val="single"/>
        </w:rPr>
        <w:t>Special Meeting Timely Notice</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In no event shall any adjournment or postponement of an annual or special meeting of shareholders or the announcement thereof commence a new time period (or extend any time period) for the giving of a shareholder’s notice as described above.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In no event may a Nominating Person provide Timely Notice or Special Meeting Timely Notice, as applicable, with respect to a greater number of director candidates than are subject to election by shareholders at the applicable annual or special meeting of shareholders. If the Corporation shall, subsequent to such notice, increase the number of directors subject to election at the meeting, such notice as to any additional nominees shall be due on the later of (i) the conclusion of the time period for Timely Notice or Special Meeting Timely Notice, as applicable or (ii) the tenth day following the date of public disclosure (as defined in Section 2.4) of such increase.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To be in proper form for purposes of this Section 2.5, a shareholder’s notice to the Secretary shall set forth: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As to each Nominating Person, the Shareholder Information (as defined in Section 2.4(c)(i), except that for purposes of this Section 2.5 the term “Nominating Person” shall be substituted for the term “Proposing Person” in all places it appears in Section 2.4(c)(i));</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election of directors at the meeting); and provided that, in lieu of including the information set forth in Section 2.4(c)(ii)(g), the Nominating Person’s notice for purposes of this Section 2.5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shareholders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 (ii)(vi)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Nominee Information</w:t>
      </w:r>
      <w:r>
        <w:rPr>
          <w:color w:val="000000"/>
        </w:rPr>
        <w:t>”</w:t>
      </w:r>
      <w:r>
        <w:rPr>
          <w:rFonts w:ascii="Times New Roman;serif" w:hAnsi="Times New Roman;serif"/>
          <w:b w:val="false"/>
          <w:color w:val="000000"/>
          <w:sz w:val="22"/>
        </w:rPr>
        <w:t>), and (C) a completed and signed questionnaire, representation and agreement as provided in Section 2.6.</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Section 2.5, the term “Nominating Person” shall mean (i) the shareholder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shareholder in such solicitation.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Board may request that any Nominating Person furnish such additional information as may be reasonably required by the Board. Such Nominating Person shall provide such additional information within ten (10) days after it has been requested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A shareholder providing notice of any nomination proposed to be made at an annual or special meeting of shareholders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shareholders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shareholders entitled to vote at the meeting in the case of the update and supplement required to be made as of such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the case of an adjournment or postponement, if it is not possible to deliver such update and supplement by such date due to an adjournment or postponement of the annual meeting that is less than eight (8) business days, such update or supplement shall be delivered on the first practicable date prior to the date to which such annual meeting has been adjourned or postponed. For the avoidance of doubt, the obligation to update and supplement as set forth in this paragraph or any other Section of these Bylaws shall not limit the Corporation’s rights with respect to any deficiencies in any notice provided by a shareholder, extend any applicable deadlines hereunder or enable or be deemed to permit a shareholder who has previously submitted notice hereunder to amend or update any nomination, including by changing or adding nominees, or to submit any new nomination, or submit any new proposal, matters, business or resolutions proposed to be brought before an annual or special meeting of the shareholders.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    In addition to the requirements of this Section 2.5 with respect to any nomination proposed to be made at a meeting of shareholders,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(ii) if (1) any Nominating Person provides notice in accordance with Rule 14a-19(b) promulgated under the Exchange Act and (2)(x)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shareholders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2.6    </w:t>
      </w:r>
      <w:r>
        <w:rPr>
          <w:rFonts w:ascii="Times New Roman;serif" w:hAnsi="Times New Roman;serif"/>
          <w:b w:val="false"/>
          <w:color w:val="000000"/>
          <w:sz w:val="22"/>
          <w:u w:val="single"/>
        </w:rPr>
        <w:t>Additional Requirements for Valid Nomination of Candidates to Serve as Director and, if</w:t>
      </w:r>
      <w:r>
        <w:rPr>
          <w:color w:val="000000"/>
        </w:rPr>
        <w:t xml:space="preserve"> </w:t>
      </w:r>
      <w:r>
        <w:rPr>
          <w:rFonts w:ascii="Times New Roman;serif" w:hAnsi="Times New Roman;serif"/>
          <w:b w:val="false"/>
          <w:color w:val="000000"/>
          <w:sz w:val="22"/>
          <w:u w:val="single"/>
        </w:rPr>
        <w:t>Elected, to be Seated as Directors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To be eligible to be a candidate for election as a director of the Corporation at an annual or special meeting, a candidate must be nominated in the manner prescribed in Section 2.5 and the candidate for nomination, whether nominated by the Board or by a shareholder of record, must have previously delivered, to the Secretary at the principal executive offices of the Corporation, (i) a completed written questionnaire (in the form provided by the Corporation within ten (10) days upon written request of any shareholder of record therefor) with respect to the background, qualifications, stock ownership and independence of such proposed nominee and (ii) a written representation and agreement (in the form provided by the Corporation within ten (10) days upon written request of any shareholder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serif" w:hAnsi="Times New Roman;serif"/>
          <w:b w:val="false"/>
          <w:color w:val="000000"/>
          <w:sz w:val="22"/>
          <w:u w:val="single"/>
        </w:rPr>
        <w:t>Voting</w:t>
      </w:r>
      <w:r>
        <w:rPr>
          <w:color w:val="000000"/>
        </w:rPr>
        <w:t xml:space="preserve"> </w:t>
      </w:r>
      <w:r>
        <w:rPr>
          <w:rFonts w:ascii="Times New Roman;serif" w:hAnsi="Times New Roman;serif"/>
          <w:b w:val="false"/>
          <w:color w:val="000000"/>
          <w:sz w:val="22"/>
          <w:u w:val="single"/>
        </w:rPr>
        <w:t>Commitment</w:t>
      </w:r>
      <w:r>
        <w:rPr>
          <w:color w:val="000000"/>
        </w:rPr>
        <w:t>”</w:t>
      </w:r>
      <w:r>
        <w:rPr>
          <w:rFonts w:ascii="Times New Roman;serif" w:hAnsi="Times New Roman;serif"/>
          <w:b w:val="false"/>
          <w:color w:val="000000"/>
          <w:sz w:val="22"/>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a director of the Corporation, intends to serve the entire term until the next meeting at which such candidate would face reelection.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The Board may also require any proposed candidate for nomination as a director to furnish such other information related to such candidate’s eligibility or qualification to serve as a director as may reasonably be requested by the Board in writing prior to the meeting of shareholders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Secretary at the principal executive offices of the Corporation not later than five (5) business days after the request by the Board has been delivered to, or mailed and received by, the Nominating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A candidate for nomination as a director shall further update and supplement the materials delivered pursuant to this Section 2.6, if necessary, so that the information provided or required to be provided pursuant to this Section 2.6(22 shall be true and correct as of the record date for shareholders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shareholders entitled to vote at the meeting in the case of the update and supplement required to be made as of such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the case of an adjournment or postponement, if it is not possible to deliver such update and supplement by such date due to an adjournment or postponement of the annual meeting that is less than eight (8) business days, such update or supplement shall be delivered on the first practicable date prior to the date to which such annual meeting has been adjourned or postponed. For the avoidance of doubt, the obligation to update and supplement as set forth in this paragraph or any other Section of these Bylaws shall not limit the Corporation’s rights with respect to any deficiencies in any notice provided by a shareholder, extend any applicable deadlines hereunder or enable or be deemed to permit a shareholder who has previously submitted notice hereunder to amend or update any nomination or to submit any new proposal, including by changing or adding nominees, matters, business or resolutions proposed to be brought before a meeting of the shareholders.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No candidate nominated pursuant to Section 2.5(a)(ii) shall be eligible for nomination as a director of the Corporation unless such candidate for nomination and the Nominating Person seeking to place such candidate’s name in nomination has complied with Section 2.5 and this Section 2.6(e), as applicable. The presiding officer at the meeting shall (or, in advance of any meeting of shareholders, the Board or an authorized committee thereof), if the facts warrant, determine whether a nomination was properly made in accordance with Section 2.5 and this Section 2.5(d), and if the presiding officer or the Board should determine that any nomination was not made in compliance with Section 2.5 and this Section 2.6, the presiding officer or the Board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Notwithstanding anything in these Bylaws to the contrary, no candidate for nomination shall be eligible to be seated as a director of the Corporation unless nominated in accordance with Section 2.5 and this Section 2.6(e) and elected as a director.</w:t>
      </w:r>
    </w:p>
    <w:p>
      <w:pPr>
        <w:pStyle w:val="TextBody"/>
        <w:bidi w:val="0"/>
        <w:spacing w:lineRule="auto" w:line="288" w:before="0" w:after="240"/>
        <w:ind w:left="0" w:right="0" w:firstLine="720"/>
        <w:jc w:val="both"/>
        <w:rPr/>
      </w:pPr>
      <w:r>
        <w:rPr>
          <w:rFonts w:ascii="Times New Roman;serif" w:hAnsi="Times New Roman;serif"/>
          <w:b w:val="false"/>
          <w:color w:val="000000"/>
          <w:sz w:val="22"/>
        </w:rPr>
        <w:t>2.7    </w:t>
      </w:r>
      <w:r>
        <w:rPr>
          <w:rFonts w:ascii="Times New Roman;serif" w:hAnsi="Times New Roman;serif"/>
          <w:b w:val="false"/>
          <w:color w:val="000000"/>
          <w:sz w:val="22"/>
          <w:u w:val="single"/>
        </w:rPr>
        <w:t>Notice of Shareholders’ Meetings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provided by law, the Certificate of Formation or these Bylaws, the notice of any meeting of shareholders shall be sent or otherwise given in accordance with Section 8.1 of these Bylaws not less than ten (10) nor more than sixty (60) days before the date of the meeting to each shareholder entitled to vote at such meeting. The notice shall specify the place, if any, date and time of the meeting, the means of remote communication, if any, by which shareholders and proxy holders may be deemed to be present in person and vote at such meeting, and, in the case of a special meeting of shareholders, the purpose or purposes for which such meeting is called. To the extent required by the TBOC, notice of a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shareholder meeting involving a fundamental business transaction (as defined in the TBOC) must be given to each shareholder of the Corporation not later than twenty-one (21) days prior to the meeting, regardless of the shareholder’s right to vote on the matter, and shall state that the purpose, or one of the purposes, of the meeting is to consider a fundamental business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2.8    </w:t>
      </w:r>
      <w:r>
        <w:rPr>
          <w:rFonts w:ascii="Times New Roman;serif" w:hAnsi="Times New Roman;serif"/>
          <w:b w:val="false"/>
          <w:color w:val="000000"/>
          <w:sz w:val="22"/>
          <w:u w:val="single"/>
        </w:rPr>
        <w:t>Quorum</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provided by law, the Certificate of Formation or these Bylaws, the holders of a majority in voting power of the stock issued and outstanding and entitled to vote at the meeting, present in person, or by remote communication, if applicable, or represented by proxy, shall constitute a quorum for the transaction of business at all meetings of shareholders. A quorum, once established at a meeting, shall not be broken by the withdrawal of enough votes to leave less than a quorum. If, however, a quorum is not present or represented at any meeting of shareholders, then either (i) the presiding officer of the meeting or (ii) a majority in voting power of the shareholders, present in person, or by remote communication, if applicable, or represented by proxy, and entitled to vote thereon shall have power to adjourn the meeting from time to time in the manner provided in Section 2.9 of these Bylaws until a quorum is present or represented. At any adjourned meeting at which a quorum is present or represented, any business may be transacted that might have been transacted at the meeting as originally noticed.</w:t>
      </w:r>
    </w:p>
    <w:p>
      <w:pPr>
        <w:pStyle w:val="TextBody"/>
        <w:bidi w:val="0"/>
        <w:spacing w:lineRule="auto" w:line="288" w:before="0" w:after="240"/>
        <w:ind w:left="0" w:right="0" w:firstLine="720"/>
        <w:jc w:val="both"/>
        <w:rPr/>
      </w:pPr>
      <w:r>
        <w:rPr>
          <w:rFonts w:ascii="Times New Roman;serif" w:hAnsi="Times New Roman;serif"/>
          <w:b w:val="false"/>
          <w:color w:val="000000"/>
          <w:sz w:val="22"/>
        </w:rPr>
        <w:t>2.9    </w:t>
      </w:r>
      <w:r>
        <w:rPr>
          <w:rFonts w:ascii="Times New Roman;serif" w:hAnsi="Times New Roman;serif"/>
          <w:b w:val="false"/>
          <w:color w:val="000000"/>
          <w:sz w:val="22"/>
          <w:u w:val="single"/>
        </w:rPr>
        <w:t>Adjourned Meeting; Notice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 a meeting of shareholders is adjourned to another time or place, unless these Bylaws otherwise require, notice need not be given of the adjourned meeting if the time, place, if any, thereof, and the means of remote communications, if any, by which shareholders and proxy holders may be deemed to be present in person and vote at such adjourned meeting are announced at the meeting at which the adjournment is taken or are provided in any other manner permitted by the TBOC. At any adjourned meeting of shareholders, the Corporation may transact any business which might have been transacted at the original meeting. If the adjournment is for more than thirty (30) days, a notice of the adjourned meeting shall be given to each shareholder of record entitled to vote at the meeting. If after the adjournment a new record date for determination of shareholders entitled to vote is fixed for the adjourned meeting, the Board shall fix as the record date for determining shareholders entitled to notice of such adjourned meeting the same or an earlier date as that fixed for determination of shareholders entitled to vote at the adjourned meeting, and shall give notice of the adjourned meeting to each shareholder of record entitled to vote at such meeting as of the record date so fixed for notice of such adjourned meeting.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2.10    </w:t>
      </w:r>
      <w:r>
        <w:rPr>
          <w:rFonts w:ascii="Times New Roman;serif" w:hAnsi="Times New Roman;serif"/>
          <w:b w:val="false"/>
          <w:color w:val="000000"/>
          <w:sz w:val="22"/>
          <w:u w:val="single"/>
        </w:rPr>
        <w:t>Conduct of Business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Meetings of shareholders shall be presided over by the Chair of the Board, if any, or in his or her absence or at his or her direction by the Chief Executive Officer or in the absence or at the direction of the foregoing persons by a presiding officer, who shall be a director or officer of the Corporation, designated by the Board. The Secretary shall act as Secretary of the meeting, but in his or her absence the chairperson of the meeting may appoint any person to act as Secretary of the meeting. The date and time of the opening and the closing of the polls for each matter upon which the shareholders will vote at a meeting of shareholders shall be announced at the meeting by the presiding officer. The Board may adopt by resolution such rules and regulations for the conduct of the meeting of shareholders as it shall deem appropriate. Except to the extent inconsistent with such rules and regulations as adopted by the Board, the presiding officer of any meeting of shareholders shall have the right and authority to convene and (for any or no reason) to recess and/or adjourn the meeting, to prescribe such rules, regulations and procedures (which need not be in writing) and to do all such acts as, in the judgment of such presiding officer, are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shareholders entitled to vote at the meeting, their duly authorized and constituted proxies or such other persons as the presiding officer of the meeting shall determine; (iv) restrictions on entry to the meeting after the time fixed for the commencement thereof; and (v) limitations on the time allotted to questions or comments by participants. The presiding officer at any meeting of shareholders,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(or, in advance of the meeting of shareholders, the Board or an authorized committee thereof) shall, if the facts warrant, determine whether the business or nomination was properly brought before the meeting and if such presiding person or the Board should determine that such business or nomination was not properly brought, such presiding person or the Board shall so declare to the meeting and any such business or nomination not properly brought before the meeting shall not be transacted or considered. Unless and to the extent determined by the Board or the person presiding officer of meeting, meetings of shareholders shall not be required to be held in accordance with the rules of parliamentary procedure.</w:t>
      </w:r>
    </w:p>
    <w:p>
      <w:pPr>
        <w:pStyle w:val="TextBody"/>
        <w:bidi w:val="0"/>
        <w:spacing w:lineRule="auto" w:line="288" w:before="0" w:after="240"/>
        <w:ind w:left="0" w:right="0" w:firstLine="720"/>
        <w:jc w:val="both"/>
        <w:rPr/>
      </w:pPr>
      <w:r>
        <w:rPr>
          <w:rFonts w:ascii="Times New Roman;serif" w:hAnsi="Times New Roman;serif"/>
          <w:b w:val="false"/>
          <w:color w:val="000000"/>
          <w:sz w:val="22"/>
        </w:rPr>
        <w:t>2.11    </w:t>
      </w:r>
      <w:r>
        <w:rPr>
          <w:rFonts w:ascii="Times New Roman;serif" w:hAnsi="Times New Roman;serif"/>
          <w:b w:val="false"/>
          <w:color w:val="000000"/>
          <w:sz w:val="22"/>
          <w:u w:val="single"/>
        </w:rPr>
        <w:t>Voting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may be otherwise provided in the Certificate of Formation or the TBOC, each shareholder shall be entitled to one (1) vote for each share of capital stock of the Corporation held by such shareholder.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by the Certificate of Formation, at all duly called or convened meetings of shareholders at which a quorum is present, for the election of directors, a plurality of the votes cast shall be sufficient to elect a director. Except as otherwise provided by the Certificate of Formation, these Bylaws, the rules or regulations of any stock exchange applicable to the Corporation, or applicable law or pursuant to any regulation applicable to the Corporation or its securities, in which case such different or minimum vote shall be applicable to the matter, each other matter presented to the shareholders at a duly called or convened meeting at which a quorum is present shall be decided by the affirmative vote of a majority in voting power of the shares entitled to vote on, and who voted for or against (excluding, for the avoidance of doubt, abstentions and broker non-votes) on such matter.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2.12    </w:t>
      </w:r>
      <w:r>
        <w:rPr>
          <w:rFonts w:ascii="Times New Roman;serif" w:hAnsi="Times New Roman;serif"/>
          <w:b w:val="false"/>
          <w:color w:val="000000"/>
          <w:sz w:val="22"/>
          <w:u w:val="single"/>
        </w:rPr>
        <w:t>Record Date for Shareholder Meetings and Other Purposes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order that the Corporation may determine the shareholders entitled to notice of or to vote at any meeting of shareholders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shareholders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shareholders entitled to notice of or to vote at a meeting of shareholders shall be the close of business on the next day preceding the day on which notice is first given, or, if notice is waived, at the close of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business on the day next preceding the day on which the meeting is held. A determination of shareholders of record entitled to notice of or to vote at a meeting of shareholders shall apply to any adjournment of the meeting;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Board may fix a new record date for determination of shareholders entitled to vote at the adjourned meeting; and in such case shall also fix as the record date for shareholders entitled to notice of such adjourned meeting the same or an earlier date as that fixed for determination of shareholders entitled to vote in accordance herewith at the adjourned meeting.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that the Corporation may determine the shareholders entitled to receive payment of any dividend or other distribution or allotment or any rights or the shareholders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shareholders for any such purpose shall be at the close of business on the day on which the Board adopts the resolution relating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shareholders are permitted to act by written consent under the Certificate of Formation, in order that the Corporation may determine the shareholders entitled to express consent to corporate action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shareholders entitled to express consent to corporate action without a meeting is fixed by the Board, (i) when no prior action of the Board is required by law, the record date for such purpose shall be the first date on which a signed written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2.13    </w:t>
      </w:r>
      <w:r>
        <w:rPr>
          <w:rFonts w:ascii="Times New Roman;serif" w:hAnsi="Times New Roman;serif"/>
          <w:b w:val="false"/>
          <w:color w:val="000000"/>
          <w:sz w:val="22"/>
          <w:u w:val="single"/>
        </w:rPr>
        <w:t>Proxies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shareholder entitled to vote at a meeting of shareholders may authorize another person or persons to act for such shareholder by proxy in any manner permitted by law, including Rule 14a-19 promulgated under the Exchange Act. No proxy shall be voted or acted upon after eleven (11) months from its date unless the proxy provides for a longer period. A duly executed proxy shall be irrevocable if it states that it is irrevocable and if, and only as long as, it is coupled with an interest sufficient in law to support an irrevocable power, as provided by the TBOC. A proxy may be made irrevocable regardless of whether the interest with which it is coupled is an interest in the stock itself or an interest in the Corporation generally. A proxy may be in the form of an electronic transmission which sets forth or is submitted with information from which it can be determined that the transmission was authorized by the shareholder.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shareholder directly or indirectly soliciting proxies from other shareholders must use a proxy card color other than white, which shall be reserved for the exclusive use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2.14    </w:t>
      </w:r>
      <w:r>
        <w:rPr>
          <w:rFonts w:ascii="Times New Roman;serif" w:hAnsi="Times New Roman;serif"/>
          <w:b w:val="false"/>
          <w:color w:val="000000"/>
          <w:sz w:val="22"/>
          <w:u w:val="single"/>
        </w:rPr>
        <w:t>List of Shareholders Entitled to Vote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Corporation shall prepare, at least eleven (11) days before each meeting of shareholders, a complete list of the shareholders entitled to vote at the meeting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the record date for determining the shareholders entitled to vote is less than ten (10) days before the date of the meeting,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list shall reflect the shareholders entitled to vote as of the tenth day before the meeting date), arranged in alphabetical order, and showing the address of each shareholder, the type of shares held by each shareholder, the number of shares registered in the name of each shareholder, and the number of votes that each shareholder is entitled to if the number of votes is different from the number of shares held by such shareholder. The Corporation shall not be required to include electronic mail addresses or other electronic contact information on such list. Such list shall be open to the examination of any shareholder,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shareholders of the Corporation. Such list shall presumptively determine the identity of the shareholders entitled to vote at the meeting and the number of shares held by each of them. Except as otherwise provided by law, the stock ledger shall be the only evidence as to who are the shareholders entitled to examine the list of shareholders required by this Section 2.14 or to vote in person or by proxy at any meeting of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2.15    </w:t>
      </w:r>
      <w:r>
        <w:rPr>
          <w:rFonts w:ascii="Times New Roman;serif" w:hAnsi="Times New Roman;serif"/>
          <w:b w:val="false"/>
          <w:color w:val="000000"/>
          <w:sz w:val="22"/>
          <w:u w:val="single"/>
        </w:rPr>
        <w:t>Inspectors of Election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Before any meeting of shareholders,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Such inspectors shall: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determine the number of shares outstanding and the voting power of each, the number of shares represented at the meeting and the validity of any proxies and ballots;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count all votes or ballots;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count and tabulate all votes;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determine and retain for a reasonable period a record of the disposition of any challenges made to any determination by the inspector(s);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certify its or their determination of the number of shares represented at the meeting and its or their count of all votes and ballots.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pStyle w:val="TextBody"/>
        <w:bidi w:val="0"/>
        <w:spacing w:lineRule="auto" w:line="288" w:before="0" w:after="240"/>
        <w:ind w:left="0" w:right="0" w:firstLine="720"/>
        <w:jc w:val="both"/>
        <w:rPr/>
      </w:pPr>
      <w:r>
        <w:rPr>
          <w:rFonts w:ascii="Times New Roman;serif" w:hAnsi="Times New Roman;serif"/>
          <w:b w:val="false"/>
          <w:color w:val="000000"/>
          <w:sz w:val="22"/>
        </w:rPr>
        <w:t>2.16    </w:t>
      </w:r>
      <w:r>
        <w:rPr>
          <w:rFonts w:ascii="Times New Roman;serif" w:hAnsi="Times New Roman;serif"/>
          <w:b w:val="false"/>
          <w:color w:val="000000"/>
          <w:sz w:val="22"/>
          <w:u w:val="single"/>
        </w:rPr>
        <w:t>Delivery to the Corporation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Whenever this Article II requires one or more persons (including a record or beneficial owner of stock) to deliver a document or information to the Corporation or any officer, employee or agent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III - Directors</w:t>
      </w:r>
    </w:p>
    <w:p>
      <w:pPr>
        <w:pStyle w:val="TextBody"/>
        <w:bidi w:val="0"/>
        <w:spacing w:lineRule="auto" w:line="288" w:before="0" w:after="240"/>
        <w:ind w:left="0" w:right="0" w:firstLine="720"/>
        <w:jc w:val="both"/>
        <w:rPr/>
      </w:pPr>
      <w:r>
        <w:rPr>
          <w:rFonts w:ascii="Times New Roman;serif" w:hAnsi="Times New Roman;serif"/>
          <w:b w:val="false"/>
          <w:color w:val="000000"/>
          <w:sz w:val="22"/>
        </w:rPr>
        <w:t>3.1    </w:t>
      </w:r>
      <w:r>
        <w:rPr>
          <w:rFonts w:ascii="Times New Roman;serif" w:hAnsi="Times New Roman;serif"/>
          <w:b w:val="false"/>
          <w:color w:val="000000"/>
          <w:sz w:val="22"/>
          <w:u w:val="single"/>
        </w:rPr>
        <w:t>Powers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by the Certificate of Formation or the TBOC, the business and affairs of the Corporation shall be managed by or under the direction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3.2    </w:t>
      </w:r>
      <w:r>
        <w:rPr>
          <w:rFonts w:ascii="Times New Roman;serif" w:hAnsi="Times New Roman;serif"/>
          <w:b w:val="false"/>
          <w:color w:val="000000"/>
          <w:sz w:val="22"/>
          <w:u w:val="single"/>
        </w:rPr>
        <w:t>Number of Directors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Certificate of Formation, the total number of directors constituting the Board shall be determined from time to time exclusively by resolution of the Board. No reduction of the authorized number of directors shall have the effect of removing any director before that director’s term of office expires.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3.3    </w:t>
      </w:r>
      <w:r>
        <w:rPr>
          <w:rFonts w:ascii="Times New Roman;serif" w:hAnsi="Times New Roman;serif"/>
          <w:b w:val="false"/>
          <w:color w:val="000000"/>
          <w:sz w:val="22"/>
          <w:u w:val="single"/>
        </w:rPr>
        <w:t>Election, Qualification and Term of Office of Directors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provided in Section 3.4 of these Bylaws, and subject to the Certificate of Formation,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shareholders. The Certificate of Formation or these Bylaws may prescribe qualifications for directors.</w:t>
      </w:r>
    </w:p>
    <w:p>
      <w:pPr>
        <w:pStyle w:val="TextBody"/>
        <w:bidi w:val="0"/>
        <w:spacing w:lineRule="auto" w:line="288" w:before="0" w:after="240"/>
        <w:ind w:left="0" w:right="0" w:firstLine="720"/>
        <w:jc w:val="both"/>
        <w:rPr/>
      </w:pPr>
      <w:r>
        <w:rPr>
          <w:rFonts w:ascii="Times New Roman;serif" w:hAnsi="Times New Roman;serif"/>
          <w:b w:val="false"/>
          <w:color w:val="000000"/>
          <w:sz w:val="22"/>
        </w:rPr>
        <w:t>3.4    </w:t>
      </w:r>
      <w:r>
        <w:rPr>
          <w:rFonts w:ascii="Times New Roman;serif" w:hAnsi="Times New Roman;serif"/>
          <w:b w:val="false"/>
          <w:color w:val="000000"/>
          <w:sz w:val="22"/>
          <w:u w:val="single"/>
        </w:rPr>
        <w:t>Resignation and Vacancies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Unless otherwise provided in the Certificate of Formation or these Bylaws, and to the fullest extent permitted by the TBOC, vacancies resulting from the death, resignation, disqualification or removal of any director may be filled by a majority of the directors then in office, although less than a quorum, or by a sole remaining director, or by election at an annual or special meeting of shareholders called for that purpose; provided, that any director so elected shall hold office for the remainder of the unexpired term of the director’s predecessor. Newly created directorships resulting from any increase in the authorized number of directors may be filled by election at an annual or special meeting of shareholders called for that purpose or by the Board;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 any director elected by the Board to fill such a newly created directorship shall hold office only until the next election of one or more directors by the shareholders, and (b) for so long as the TBOC prohibits such action, the Board of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Directors may not fill more than two such directorships resulting from an increase in the number of directors during the period between any two successive annual meetings of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3.5    </w:t>
      </w:r>
      <w:r>
        <w:rPr>
          <w:rFonts w:ascii="Times New Roman;serif" w:hAnsi="Times New Roman;serif"/>
          <w:b w:val="false"/>
          <w:color w:val="000000"/>
          <w:sz w:val="22"/>
          <w:u w:val="single"/>
        </w:rPr>
        <w:t>Place of Meetings; Meetings by Telephone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hold meetings, both regular and special, either within or outside the State of Texas.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restricted by the Certificate of Formation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3.6    </w:t>
      </w:r>
      <w:r>
        <w:rPr>
          <w:rFonts w:ascii="Times New Roman;serif" w:hAnsi="Times New Roman;serif"/>
          <w:b w:val="false"/>
          <w:color w:val="000000"/>
          <w:sz w:val="22"/>
          <w:u w:val="single"/>
        </w:rPr>
        <w:t>Regular Meetings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Regular meetings of the Board may be held within or outside the State of Texas and at such time and at such place as which has been designated by the Board and publicized among all directors, either orally or in writing, by telephone, including a voice-messaging system or other system designed to record and communicate messages, facsimile, or by electronic mail or other means of electronic transmission. No further notice shall be required for regular meetings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3.7    </w:t>
      </w:r>
      <w:r>
        <w:rPr>
          <w:rFonts w:ascii="Times New Roman;serif" w:hAnsi="Times New Roman;serif"/>
          <w:b w:val="false"/>
          <w:color w:val="000000"/>
          <w:sz w:val="22"/>
          <w:u w:val="single"/>
        </w:rPr>
        <w:t>Special Meetings; Notice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Special meetings of the Board for any purpose or purposes may be called at any time by the chairperson of the Board, the Chief Executive Officer, the President, the Secretary or a majority of the total number of directors constituting the Board.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Notice of the time and place of special meetings shall be: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delivered personally by hand, by courier or by telephone;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sent by United States first-class mail, postage prepaid;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sent by facsimile or electronic mail;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sent by other means of electronic transmission, directed to each director at that director’s address, telephone number, facsimile number or electronic mail address, or other address for electronic transmission, as the case may be, as shown on the Corporation’s records.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3.8    </w:t>
      </w:r>
      <w:r>
        <w:rPr>
          <w:rFonts w:ascii="Times New Roman;serif" w:hAnsi="Times New Roman;serif"/>
          <w:b w:val="false"/>
          <w:color w:val="000000"/>
          <w:sz w:val="22"/>
          <w:u w:val="single"/>
        </w:rPr>
        <w:t>Quorum</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 all meetings of the Board, unless otherwise provided by the Certificate of Formation,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Formation or these Bylaws.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3.9    </w:t>
      </w:r>
      <w:r>
        <w:rPr>
          <w:rFonts w:ascii="Times New Roman;serif" w:hAnsi="Times New Roman;serif"/>
          <w:b w:val="false"/>
          <w:color w:val="000000"/>
          <w:sz w:val="22"/>
          <w:u w:val="single"/>
        </w:rPr>
        <w:t>Board Action without a Meeting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restricted by the Certificate of Formation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3.10    </w:t>
      </w:r>
      <w:r>
        <w:rPr>
          <w:rFonts w:ascii="Times New Roman;serif" w:hAnsi="Times New Roman;serif"/>
          <w:b w:val="false"/>
          <w:color w:val="000000"/>
          <w:sz w:val="22"/>
          <w:u w:val="single"/>
        </w:rPr>
        <w:t>Fees and Compensation of Directors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restricted by the Certificate of Formation or these Bylaws, the Board shall have the authority to fix the compensation, including fees and reimbursement of expenses, of directors for services to the Corporation in any capacity.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IV - Committees</w:t>
      </w:r>
    </w:p>
    <w:p>
      <w:pPr>
        <w:pStyle w:val="TextBody"/>
        <w:bidi w:val="0"/>
        <w:spacing w:lineRule="auto" w:line="288" w:before="0" w:after="240"/>
        <w:ind w:left="0" w:right="0" w:firstLine="720"/>
        <w:jc w:val="both"/>
        <w:rPr/>
      </w:pPr>
      <w:r>
        <w:rPr>
          <w:rFonts w:ascii="Times New Roman;serif" w:hAnsi="Times New Roman;serif"/>
          <w:b w:val="false"/>
          <w:color w:val="000000"/>
          <w:sz w:val="22"/>
        </w:rPr>
        <w:t>4.1    </w:t>
      </w:r>
      <w:r>
        <w:rPr>
          <w:rFonts w:ascii="Times New Roman;serif" w:hAnsi="Times New Roman;serif"/>
          <w:b w:val="false"/>
          <w:color w:val="000000"/>
          <w:sz w:val="22"/>
          <w:u w:val="single"/>
        </w:rPr>
        <w:t>Committees of Directors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take any action that a committee of the board of directors may not validly take under the TBOC, as it presently exists or may hereafter be amended.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4.2    </w:t>
      </w:r>
      <w:r>
        <w:rPr>
          <w:rFonts w:ascii="Times New Roman;serif" w:hAnsi="Times New Roman;serif"/>
          <w:b w:val="false"/>
          <w:color w:val="000000"/>
          <w:sz w:val="22"/>
          <w:u w:val="single"/>
        </w:rPr>
        <w:t>Committee Minutes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committee shall keep regular minutes of its meetings and report the same to the Board when required.</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4.3    </w:t>
      </w:r>
      <w:r>
        <w:rPr>
          <w:rFonts w:ascii="Times New Roman;serif" w:hAnsi="Times New Roman;serif"/>
          <w:b w:val="false"/>
          <w:color w:val="000000"/>
          <w:sz w:val="22"/>
          <w:u w:val="single"/>
        </w:rPr>
        <w:t>Meetings and Actions of Committees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Meetings and actions of committees shall be governed by, and held and taken in accordance with, the provisions 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Section 3.5 (place of meetings; meetings by telephone);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Section 3.6 (regular meetings);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Section 3.7 (special meetings; notice);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Section 3.9 (board action without a meeting);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    Section 7.13 (waiver of notice), </w:t>
      </w:r>
    </w:p>
    <w:p>
      <w:pPr>
        <w:pStyle w:val="TextBody"/>
        <w:bidi w:val="0"/>
        <w:spacing w:lineRule="auto" w:line="288" w:before="0" w:after="240"/>
        <w:jc w:val="both"/>
        <w:rPr/>
      </w:pPr>
      <w:r>
        <w:rPr>
          <w:rFonts w:ascii="Times New Roman;serif" w:hAnsi="Times New Roman;serif"/>
          <w:b w:val="false"/>
          <w:color w:val="000000"/>
          <w:sz w:val="22"/>
        </w:rPr>
        <w:t xml:space="preserve">with such changes in the context of those bylaws as are necessary to substitute the committee and its members for the Board and its members. </w:t>
      </w:r>
      <w:r>
        <w:rPr>
          <w:rFonts w:ascii="Times New Roman;serif" w:hAnsi="Times New Roman;serif"/>
          <w:b w:val="false"/>
          <w:i/>
          <w:color w:val="000000"/>
          <w:sz w:val="22"/>
        </w:rPr>
        <w:t>However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time of regular meetings of committees may be determined either by resolution of the Board or by resolution of the committee;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special meetings of committees may also be called by resolution of the Board or the chairperson of the applicable committee; and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Board may adopt rules for the governance of any committee to override the provisions that would otherwise apply to the committee pursuant to this Section 4.3, provided that such rules do not violate the provisions of the Certificate of Formation or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4.4    </w:t>
      </w:r>
      <w:r>
        <w:rPr>
          <w:rFonts w:ascii="Times New Roman;serif" w:hAnsi="Times New Roman;serif"/>
          <w:b w:val="false"/>
          <w:color w:val="000000"/>
          <w:sz w:val="22"/>
          <w:u w:val="single"/>
        </w:rPr>
        <w:t>Subcommittees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provided in the Certificate of Formation,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 - Officers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5.1    </w:t>
      </w:r>
      <w:r>
        <w:rPr>
          <w:rFonts w:ascii="Times New Roman;serif" w:hAnsi="Times New Roman;serif"/>
          <w:b w:val="false"/>
          <w:color w:val="000000"/>
          <w:sz w:val="22"/>
          <w:u w:val="single"/>
        </w:rPr>
        <w:t>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shareholder or director of the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5.2    </w:t>
      </w:r>
      <w:r>
        <w:rPr>
          <w:rFonts w:ascii="Times New Roman;serif" w:hAnsi="Times New Roman;serif"/>
          <w:b w:val="false"/>
          <w:color w:val="000000"/>
          <w:sz w:val="22"/>
          <w:u w:val="single"/>
        </w:rPr>
        <w:t>Appointment of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shall appoint the officers of the Corporation, except such officers as may be appointed in accordance with the provisions of Section 5.3 of these Bylaws.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5.3    </w:t>
      </w:r>
      <w:r>
        <w:rPr>
          <w:rFonts w:ascii="Times New Roman;serif" w:hAnsi="Times New Roman;serif"/>
          <w:b w:val="false"/>
          <w:color w:val="000000"/>
          <w:sz w:val="22"/>
          <w:u w:val="single"/>
        </w:rPr>
        <w:t>Subordinate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pStyle w:val="TextBody"/>
        <w:bidi w:val="0"/>
        <w:spacing w:lineRule="auto" w:line="288" w:before="0" w:after="240"/>
        <w:ind w:left="0" w:right="0" w:firstLine="720"/>
        <w:jc w:val="both"/>
        <w:rPr/>
      </w:pPr>
      <w:r>
        <w:rPr>
          <w:rFonts w:ascii="Times New Roman;serif" w:hAnsi="Times New Roman;serif"/>
          <w:b w:val="false"/>
          <w:color w:val="000000"/>
          <w:sz w:val="22"/>
        </w:rPr>
        <w:t>5.4    </w:t>
      </w:r>
      <w:r>
        <w:rPr>
          <w:rFonts w:ascii="Times New Roman;serif" w:hAnsi="Times New Roman;serif"/>
          <w:b w:val="false"/>
          <w:color w:val="000000"/>
          <w:sz w:val="22"/>
          <w:u w:val="single"/>
        </w:rPr>
        <w:t>Removal and Resignation of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rights, if any, of an officer under any contract of employment, any officer may be removed, either with or without cause, by the Board, provided that, if the Board has empowered the Chief Executive Officer or, in the absence of a Chief Executive Officer, the President, to appoint any officer of the Corporation in accordance with the provisions of Section 5.3 of these Bylaws, then such officer may also be removed, with or without cause, by the Chief Executive Officer or the President, as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5.5    </w:t>
      </w:r>
      <w:r>
        <w:rPr>
          <w:rFonts w:ascii="Times New Roman;serif" w:hAnsi="Times New Roman;serif"/>
          <w:b w:val="false"/>
          <w:color w:val="000000"/>
          <w:sz w:val="22"/>
          <w:u w:val="single"/>
        </w:rPr>
        <w:t>Vacancies in Offices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vacancy occurring in any office of the Corporation shall be filled by the Board or as provided in Section 5.2 and Section 5.3.</w:t>
      </w:r>
    </w:p>
    <w:p>
      <w:pPr>
        <w:pStyle w:val="TextBody"/>
        <w:bidi w:val="0"/>
        <w:spacing w:lineRule="auto" w:line="288" w:before="0" w:after="240"/>
        <w:ind w:left="0" w:right="0" w:firstLine="720"/>
        <w:jc w:val="both"/>
        <w:rPr/>
      </w:pPr>
      <w:r>
        <w:rPr>
          <w:rFonts w:ascii="Times New Roman;serif" w:hAnsi="Times New Roman;serif"/>
          <w:b w:val="false"/>
          <w:color w:val="000000"/>
          <w:sz w:val="22"/>
        </w:rPr>
        <w:t>5.6    </w:t>
      </w:r>
      <w:r>
        <w:rPr>
          <w:rFonts w:ascii="Times New Roman;serif" w:hAnsi="Times New Roman;serif"/>
          <w:b w:val="false"/>
          <w:color w:val="000000"/>
          <w:sz w:val="22"/>
          <w:u w:val="single"/>
        </w:rPr>
        <w:t>Representation of Shares of Other Corporations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5.7    </w:t>
      </w:r>
      <w:r>
        <w:rPr>
          <w:rFonts w:ascii="Times New Roman;serif" w:hAnsi="Times New Roman;serif"/>
          <w:b w:val="false"/>
          <w:color w:val="000000"/>
          <w:sz w:val="22"/>
          <w:u w:val="single"/>
        </w:rPr>
        <w:t>Authority and Duties of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All officers of the Corporation shall respectively have such authority and perform such duties in the management of the business of the Corporation as may be provided herein or designated from time to time by the Board or, if the Board has empowered the Chief Executive Officer or, in the absence of a Chief Executive Officer, the President, to appoint any officer of the Corporation in accordance with the provisions of Section 5.3 of these Bylaws, by the Chief Executive Officer or President, as applicable, with respect to such officers appointed by the Chief Executive Officer or the President, as applicable, and, to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extent not so provided, as generally pertain to their respective offices, subject to the control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5.8    </w:t>
      </w:r>
      <w:r>
        <w:rPr>
          <w:rFonts w:ascii="Times New Roman;serif" w:hAnsi="Times New Roman;serif"/>
          <w:b w:val="false"/>
          <w:color w:val="000000"/>
          <w:sz w:val="22"/>
          <w:u w:val="single"/>
        </w:rPr>
        <w:t>Compensation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 - Records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stock ledger consisting of one or more records in which the names of all of the Corporation’s shareholders of record, the address and number of shares registered in the name of each such shareholder, and all issuances and transfers of stock of the Corporation are recorded in accordance with the TBOC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comply with all applicable requirements of the TBOC.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VII - General Matters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7.1    </w:t>
      </w:r>
      <w:r>
        <w:rPr>
          <w:rFonts w:ascii="Times New Roman;serif" w:hAnsi="Times New Roman;serif"/>
          <w:b w:val="false"/>
          <w:color w:val="000000"/>
          <w:sz w:val="22"/>
          <w:u w:val="single"/>
        </w:rPr>
        <w:t>Execution of Corporate Contracts and Instruments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except as otherwise provided in these Bylaws, may authorize any officer or officers, or agent or agents of the Corporation, to enter into any contract or execute any instrument in the name of and on behalf of the Corporation; such authority may be general or confined to specific instances.</w:t>
      </w:r>
    </w:p>
    <w:p>
      <w:pPr>
        <w:pStyle w:val="TextBody"/>
        <w:bidi w:val="0"/>
        <w:spacing w:lineRule="auto" w:line="288" w:before="0" w:after="240"/>
        <w:ind w:left="0" w:right="0" w:firstLine="720"/>
        <w:jc w:val="both"/>
        <w:rPr/>
      </w:pPr>
      <w:r>
        <w:rPr>
          <w:rFonts w:ascii="Times New Roman;serif" w:hAnsi="Times New Roman;serif"/>
          <w:b w:val="false"/>
          <w:color w:val="000000"/>
          <w:sz w:val="22"/>
        </w:rPr>
        <w:t>7.2    </w:t>
      </w:r>
      <w:r>
        <w:rPr>
          <w:rFonts w:ascii="Times New Roman;serif" w:hAnsi="Times New Roman;serif"/>
          <w:b w:val="false"/>
          <w:color w:val="000000"/>
          <w:sz w:val="22"/>
          <w:u w:val="single"/>
        </w:rPr>
        <w:t>Stock Certificates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Formation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Without limiting any other officer who may hereafter be authorized to sign stock certificates on behalf of the Corporation, the Chairperson or Vice Chairperson of the Board, Chief Executive Officer, the President, Vice President, the Treasurer, any Assistant Treasurer, the Secretary or any Assistant Secretary of the Corporation are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pStyle w:val="TextBody"/>
        <w:bidi w:val="0"/>
        <w:spacing w:lineRule="auto" w:line="288" w:before="0" w:after="240"/>
        <w:ind w:left="0" w:right="0" w:firstLine="720"/>
        <w:jc w:val="both"/>
        <w:rPr/>
      </w:pPr>
      <w:r>
        <w:rPr>
          <w:rFonts w:ascii="Times New Roman;serif" w:hAnsi="Times New Roman;serif"/>
          <w:b w:val="false"/>
          <w:color w:val="000000"/>
          <w:sz w:val="22"/>
        </w:rPr>
        <w:t>7.3    </w:t>
      </w:r>
      <w:r>
        <w:rPr>
          <w:rFonts w:ascii="Times New Roman;serif" w:hAnsi="Times New Roman;serif"/>
          <w:b w:val="false"/>
          <w:color w:val="000000"/>
          <w:sz w:val="22"/>
          <w:u w:val="single"/>
        </w:rPr>
        <w:t>Special Designation of Certificates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the TBOC); </w:t>
      </w:r>
      <w:r>
        <w:rPr>
          <w:rFonts w:ascii="Times New Roman;serif" w:hAnsi="Times New Roman;serif"/>
          <w:b w:val="false"/>
          <w:i/>
          <w:color w:val="000000"/>
          <w:sz w:val="22"/>
        </w:rPr>
        <w:t>provided, however</w:t>
      </w:r>
      <w:r>
        <w:rPr>
          <w:rFonts w:ascii="Times New Roman;serif" w:hAnsi="Times New Roman;serif"/>
          <w:b w:val="false"/>
          <w:color w:val="000000"/>
          <w:sz w:val="22"/>
        </w:rPr>
        <w:t>, that except as otherwise provided by applicable law,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shareholder who so requests the powers, the designations, the preferences and the relative, participating, optional or other special rights of each class of stock or series thereof and the qualifications, limitations or restrictions of such preferences and/or rights.</w:t>
      </w:r>
    </w:p>
    <w:p>
      <w:pPr>
        <w:pStyle w:val="TextBody"/>
        <w:bidi w:val="0"/>
        <w:spacing w:lineRule="auto" w:line="288" w:before="0" w:after="240"/>
        <w:ind w:left="0" w:right="0" w:firstLine="720"/>
        <w:jc w:val="both"/>
        <w:rPr/>
      </w:pPr>
      <w:r>
        <w:rPr>
          <w:rFonts w:ascii="Times New Roman;serif" w:hAnsi="Times New Roman;serif"/>
          <w:b w:val="false"/>
          <w:color w:val="000000"/>
          <w:sz w:val="22"/>
        </w:rPr>
        <w:t>7.4    </w:t>
      </w:r>
      <w:r>
        <w:rPr>
          <w:rFonts w:ascii="Times New Roman;serif" w:hAnsi="Times New Roman;serif"/>
          <w:b w:val="false"/>
          <w:color w:val="000000"/>
          <w:sz w:val="22"/>
          <w:u w:val="single"/>
        </w:rPr>
        <w:t>Lost Certificates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provided in this Section 7.4, no new certificates for shares or uncertificated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7.5    </w:t>
      </w:r>
      <w:r>
        <w:rPr>
          <w:rFonts w:ascii="Times New Roman;serif" w:hAnsi="Times New Roman;serif"/>
          <w:b w:val="false"/>
          <w:color w:val="000000"/>
          <w:sz w:val="22"/>
          <w:u w:val="single"/>
        </w:rPr>
        <w:t>Shares Without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7.6    </w:t>
      </w:r>
      <w:r>
        <w:rPr>
          <w:rFonts w:ascii="Times New Roman;serif" w:hAnsi="Times New Roman;serif"/>
          <w:b w:val="false"/>
          <w:color w:val="000000"/>
          <w:sz w:val="22"/>
          <w:u w:val="single"/>
        </w:rPr>
        <w:t>Construction; Definitions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the context requires otherwise, the general provisions, rules of construction and definitions in the TBOC shall govern the construction of these Bylaws. Without limiting the generality of this provision, the singular number includes the plural and the plural number includes the singular.</w:t>
      </w:r>
    </w:p>
    <w:p>
      <w:pPr>
        <w:pStyle w:val="TextBody"/>
        <w:bidi w:val="0"/>
        <w:spacing w:lineRule="auto" w:line="288" w:before="0" w:after="240"/>
        <w:ind w:left="0" w:right="0" w:firstLine="720"/>
        <w:jc w:val="both"/>
        <w:rPr/>
      </w:pPr>
      <w:r>
        <w:rPr>
          <w:rFonts w:ascii="Times New Roman;serif" w:hAnsi="Times New Roman;serif"/>
          <w:b w:val="false"/>
          <w:color w:val="000000"/>
          <w:sz w:val="22"/>
        </w:rPr>
        <w:t>7.7    </w:t>
      </w:r>
      <w:r>
        <w:rPr>
          <w:rFonts w:ascii="Times New Roman;serif" w:hAnsi="Times New Roman;serif"/>
          <w:b w:val="false"/>
          <w:color w:val="000000"/>
          <w:sz w:val="22"/>
          <w:u w:val="single"/>
        </w:rPr>
        <w:t>Dividends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subject to any restrictions contained in either (i) the TBOC or (ii) the Certificate of Formation, may declare and pay dividends upon the shares of its capital stock. Dividends may be paid in cash, in property or in shares of the Corporation’s capital stock.</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7.8    </w:t>
      </w:r>
      <w:r>
        <w:rPr>
          <w:rFonts w:ascii="Times New Roman;serif" w:hAnsi="Times New Roman;serif"/>
          <w:b w:val="false"/>
          <w:color w:val="000000"/>
          <w:sz w:val="22"/>
          <w:u w:val="single"/>
        </w:rPr>
        <w:t>Fiscal Year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fiscal year of the Corporation shall be fixed by resolution of the Board and may be changed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7.9    </w:t>
      </w:r>
      <w:r>
        <w:rPr>
          <w:rFonts w:ascii="Times New Roman;serif" w:hAnsi="Times New Roman;serif"/>
          <w:b w:val="false"/>
          <w:color w:val="000000"/>
          <w:sz w:val="22"/>
          <w:u w:val="single"/>
        </w:rPr>
        <w:t>Seal</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adopt a corporate seal, which shall be adopted and which may be altered by the Board. The Corporation may use the corporate seal by causing it or a facsimile thereof to be impressed or affixed or in any other manner reproduced.</w:t>
      </w:r>
    </w:p>
    <w:p>
      <w:pPr>
        <w:pStyle w:val="TextBody"/>
        <w:bidi w:val="0"/>
        <w:spacing w:lineRule="auto" w:line="288" w:before="0" w:after="240"/>
        <w:ind w:left="0" w:right="0" w:firstLine="720"/>
        <w:jc w:val="both"/>
        <w:rPr/>
      </w:pPr>
      <w:r>
        <w:rPr>
          <w:rFonts w:ascii="Times New Roman;serif" w:hAnsi="Times New Roman;serif"/>
          <w:b w:val="false"/>
          <w:color w:val="000000"/>
          <w:sz w:val="22"/>
        </w:rPr>
        <w:t>7.10    </w:t>
      </w:r>
      <w:r>
        <w:rPr>
          <w:rFonts w:ascii="Times New Roman;serif" w:hAnsi="Times New Roman;serif"/>
          <w:b w:val="false"/>
          <w:color w:val="000000"/>
          <w:sz w:val="22"/>
          <w:u w:val="single"/>
        </w:rPr>
        <w:t>Transfer of Stock</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7.11    </w:t>
      </w:r>
      <w:r>
        <w:rPr>
          <w:rFonts w:ascii="Times New Roman;serif" w:hAnsi="Times New Roman;serif"/>
          <w:b w:val="false"/>
          <w:color w:val="000000"/>
          <w:sz w:val="22"/>
          <w:u w:val="single"/>
        </w:rPr>
        <w:t>Stock Transfer Agreements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shall have power to enter into and perform any agreement with any number of shareholders of any one or more classes or series of stock of the Corporation to restrict the transfer of shares of stock of the Corporation of any one or more classes owned by such shareholders in any manner not prohibited by the TBOC.</w:t>
      </w:r>
    </w:p>
    <w:p>
      <w:pPr>
        <w:pStyle w:val="TextBody"/>
        <w:bidi w:val="0"/>
        <w:spacing w:lineRule="auto" w:line="288" w:before="0" w:after="240"/>
        <w:ind w:left="0" w:right="0" w:firstLine="720"/>
        <w:jc w:val="both"/>
        <w:rPr/>
      </w:pPr>
      <w:r>
        <w:rPr>
          <w:rFonts w:ascii="Times New Roman;serif" w:hAnsi="Times New Roman;serif"/>
          <w:b w:val="false"/>
          <w:color w:val="000000"/>
          <w:sz w:val="22"/>
        </w:rPr>
        <w:t>7.12    </w:t>
      </w:r>
      <w:r>
        <w:rPr>
          <w:rFonts w:ascii="Times New Roman;serif" w:hAnsi="Times New Roman;serif"/>
          <w:b w:val="false"/>
          <w:color w:val="000000"/>
          <w:sz w:val="22"/>
          <w:u w:val="single"/>
        </w:rPr>
        <w:t>Registered Shareholders.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by applicable law, the 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shall be entitled to recognize the exclusive right of a person registered on its books as the owner of shares to receive dividends and to vote as such owner;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shall not be bound to recognize any equitable or other claim to or interest in such share or shares on the part of another person, whether or not it shall have express or other notice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7.13    </w:t>
      </w:r>
      <w:r>
        <w:rPr>
          <w:rFonts w:ascii="Times New Roman;serif" w:hAnsi="Times New Roman;serif"/>
          <w:b w:val="false"/>
          <w:color w:val="000000"/>
          <w:sz w:val="22"/>
          <w:u w:val="single"/>
        </w:rPr>
        <w:t>Waiver of Notice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Whenever notice is required to be given under any provision of the TBOC, the Certificate of Formation or these Bylaws, a written waiver, signed by the person entitled to notice, or a waiver by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annual or special meeting of the shareholders need be specified in any written waiver of notice or any waiver by electronic transmission unless so required by the Certificate of Formation or these Bylaws.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7.14    Severability.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determination that any provision of these Bylaws is for any reason inapplicable, illegal or ineffective shall not affect or invalidate any other provision of these Bylaws.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7.15    Inconsistent Provisions.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that any provision of these Bylaws is or becomes inconsistent with any provision of the Certificate of Formation, the TBOC or any other applicable law, the provision of these Bylaws shall not be given any effect to the extent of such inconsistency but shall otherwise be given full force and effect.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VIII -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8.1    </w:t>
      </w:r>
      <w:r>
        <w:rPr>
          <w:rFonts w:ascii="Times New Roman;serif" w:hAnsi="Times New Roman;serif"/>
          <w:b w:val="false"/>
          <w:color w:val="000000"/>
          <w:sz w:val="22"/>
          <w:u w:val="single"/>
        </w:rPr>
        <w:t>Delivery of Notice; Notice by Electronic Transmission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Without limiting the manner by which notice otherwise may be given effectively to shareholders, any notice to shareholders given by the Corporation under any provisions of the TBOC, the Certificate of Formation, or these Bylaws may be given in writing directed to the shareholder’s mailing address as it appears on the records of the Corporation and shall be given (1) if mailed, when the notice is deposited in the U.S. mail, postage prepaid, or (2) if delivered by courier service, the earlier of when the notice is received or left at such shareholder’s address. Notice may be given by electronic mail or other electronic transmission only with the affirmative consent of the shareholder to whom such notice is given, in accordance with the TBOC. If given by electronic mail to a consenting shareholder, notice shall be given when directed to such shareholder’s electronic mail address. A notice by electronic mail must include a prominent legend that the communication is an important notice regarding the 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Without limiting the manner by which notice otherwise may be given effectively to shareholders, Any notice to shareholders given by the Corporation under any provision of the TBOC, the Certificate of Formation or these Bylaws shall be effective if given by a form of electronic transmission consented to by the shareholder to whom the notice is given in accordance with Section 21.3531 of the TBOC. Any such consent shall be revocable by the shareholder by written notice or electronic transmission to the 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notice given pursuant to the preceding paragraph shall be deemed given: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if by facsimile telecommunication, when directed to a number at which the shareholder has consented to receive notice;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if by a posting on an electronic network together with separate notice to the shareholder of such specific posting, upon the later of (A) such posting and (B) the giving of such separate notice; and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if by any other form of electronic transmission, when directed to the shareholder.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w:t>
      </w:r>
      <w:r>
        <w:rPr>
          <w:rFonts w:ascii="Times New Roman;serif" w:hAnsi="Times New Roman;serif"/>
          <w:b w:val="false"/>
          <w:i/>
          <w:color w:val="000000"/>
          <w:sz w:val="22"/>
        </w:rPr>
        <w:t>provided, however</w:t>
      </w:r>
      <w:r>
        <w:rPr>
          <w:rFonts w:ascii="Times New Roman;serif" w:hAnsi="Times New Roman;serif"/>
          <w:b w:val="false"/>
          <w:color w:val="000000"/>
          <w:sz w:val="22"/>
        </w:rPr>
        <w:t>, the inadvertent failure to discover such inability shall not invalidate any meeting or other action.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 affidavit of the Secretary or an Assistant Secretary or of the transfer agent or other agent of the Corporation that the notice has been given shall, in the absence of fraud, be prima facie evidence of the facts stated therein.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IX - Indemnification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9.1    </w:t>
      </w:r>
      <w:r>
        <w:rPr>
          <w:rFonts w:ascii="Times New Roman;serif" w:hAnsi="Times New Roman;serif"/>
          <w:b w:val="false"/>
          <w:color w:val="000000"/>
          <w:sz w:val="22"/>
          <w:u w:val="single"/>
        </w:rPr>
        <w:t>Indemnification of Directors and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Corporation shall indemnify and hold harmless, to the fullest extent permitted by applicable law as it presently exists or may hereafter be amended, any director or officer of the Corporation (a “</w:t>
      </w:r>
      <w:r>
        <w:rPr>
          <w:rFonts w:ascii="Times New Roman;serif" w:hAnsi="Times New Roman;serif"/>
          <w:b w:val="false"/>
          <w:color w:val="000000"/>
          <w:sz w:val="22"/>
          <w:u w:val="single"/>
        </w:rPr>
        <w:t>covered person</w:t>
      </w:r>
      <w:r>
        <w:rPr>
          <w:color w:val="000000"/>
        </w:rPr>
        <w:t>”</w:t>
      </w:r>
      <w:r>
        <w:rPr>
          <w:rFonts w:ascii="Times New Roman;serif" w:hAnsi="Times New Roman;serif"/>
          <w:b w:val="false"/>
          <w:color w:val="000000"/>
          <w:sz w:val="22"/>
        </w:rPr>
        <w:t>) who was or is made or is threatened to be made a party or is otherwise involved in any action, suit or proceeding, whether civil, criminal, administrative or investigative (a “</w:t>
      </w:r>
      <w:r>
        <w:rPr>
          <w:rFonts w:ascii="Times New Roman;serif" w:hAnsi="Times New Roman;serif"/>
          <w:b w:val="false"/>
          <w:color w:val="000000"/>
          <w:sz w:val="22"/>
          <w:u w:val="single"/>
        </w:rPr>
        <w:t>Proceedin</w:t>
      </w:r>
      <w:r>
        <w:rPr>
          <w:rFonts w:ascii="Times New Roman;serif" w:hAnsi="Times New Roman;serif"/>
          <w:b w:val="false"/>
          <w:color w:val="000000"/>
          <w:sz w:val="22"/>
        </w:rPr>
        <w:t xml:space="preserve">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foregoing, with respect to a covered person who is not wholly successful on the merits or otherwise in the defense of a Proceeding, indemnification under this Section 9.1 shall be subject to the determination that such covered person acted in good faith and in a manner that the covered person reasonably believed to be in or not opposed to the best interests of the Corporation, and, with respect to any criminal Proceeding, had no reasonable cause to believe the covered person’s conduct was unlawful. For the avoidance of doubt, a covered person who is wholly successful, on the merits or otherwise, in the defense of a Proceeding shall be entitled to mandatory indemnification against reasonable expenses actually incurred in connection with that Proceeding without regard to the foregoing good faith standard, as required by the TBOC. Notwithstanding the preceding sentences, except as otherwise provided in Section 9.4, the Corporation shall be required to indemnify a person in connection with a Proceeding initiated by such person only if the Proceeding was authorized in the specific case by the Board.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 covered person is found liable to the corporation or is found liable because the person improperly received a personal benefit, the indemnification of the person under this Section 9.1 is limited to reasonable expenses actually incurred by the person in connection with the proceeding and does not include a judgment, a penalty, a fine, or an excise or similar tax, including an excise tax assessed against the person with respect to an employee benefit plan; provided, however, such indemnification for expenses may not be made in relation to a proceeding in which the person has been found liable for: (A) willful or intentional misconduct in the performance of the person's duty to the corporation; (B) breach of the person's duty of loyalty owed to the corporation; or (C) an act or omission not committed in good faith that constitutes a breach of a duty owed by the person to the corporation. Notwithstanding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on application by the person and after notice is provided as required by the court, the court adjudicating such Proceeding may order the corporation to indemnify the person to the extent the court determines that such person is fairly and reasonably entitled to indemnification in view of all the relevant circumstances; however, such indemnification is limited to reasonable expenses if the person is found liable (i) to the corporation or (ii) because the person improperly received a personal benefit, without regard to whether the benefit resulted from an action taken in the person’s official capacity. For purposes of this Section 9.1, the person is considered to have been found liable in relation to a claim, issue, or matter only if the liability is established by an order, including a judgment or decree of a court, and all appeals of the order are exhausted or foreclosed by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9.2    </w:t>
      </w:r>
      <w:r>
        <w:rPr>
          <w:rFonts w:ascii="Times New Roman;serif" w:hAnsi="Times New Roman;serif"/>
          <w:b w:val="false"/>
          <w:color w:val="000000"/>
          <w:sz w:val="22"/>
          <w:u w:val="single"/>
        </w:rPr>
        <w:t>Indemnification of Others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9.3    </w:t>
      </w:r>
      <w:r>
        <w:rPr>
          <w:rFonts w:ascii="Times New Roman;serif" w:hAnsi="Times New Roman;serif"/>
          <w:b w:val="false"/>
          <w:color w:val="000000"/>
          <w:sz w:val="22"/>
          <w:u w:val="single"/>
        </w:rPr>
        <w:t>Prepayment of Expenses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serif" w:hAnsi="Times New Roman;serif"/>
          <w:b w:val="false"/>
          <w:i/>
          <w:color w:val="000000"/>
          <w:sz w:val="22"/>
        </w:rPr>
        <w:t>provided, however</w:t>
      </w:r>
      <w:r>
        <w:rPr>
          <w:rFonts w:ascii="Times New Roman;serif" w:hAnsi="Times New Roman;serif"/>
          <w:b w:val="false"/>
          <w:color w:val="000000"/>
          <w:sz w:val="22"/>
        </w:rPr>
        <w:t>, that, in the case of a covered person who is a current director or officer of the Corporation, such payment of expenses in advance of the final disposition of the Proceeding shall be made only upon receipt of (a) a written affirmation by such covered person of such person’s good faith belief that the person has met the standard of conduct necessary for indemnification under this Article IX and (b) a written undertaking by such covered person to repay all amounts advanced if it should be ultimately determined that the person is not entitled to be indemnified under this Article IX or otherwise. Advancement of expenses to former directors or officers, or to employees and agents who are not governing persons, may be made on such terms as the Board deems appropriate, consistent with the TBOC.</w:t>
      </w:r>
    </w:p>
    <w:p>
      <w:pPr>
        <w:pStyle w:val="TextBody"/>
        <w:bidi w:val="0"/>
        <w:spacing w:lineRule="auto" w:line="288" w:before="0" w:after="240"/>
        <w:ind w:left="0" w:right="0" w:firstLine="720"/>
        <w:jc w:val="both"/>
        <w:rPr/>
      </w:pPr>
      <w:r>
        <w:rPr>
          <w:rFonts w:ascii="Times New Roman;serif" w:hAnsi="Times New Roman;serif"/>
          <w:b w:val="false"/>
          <w:color w:val="000000"/>
          <w:sz w:val="22"/>
        </w:rPr>
        <w:t>9.4    </w:t>
      </w:r>
      <w:r>
        <w:rPr>
          <w:rFonts w:ascii="Times New Roman;serif" w:hAnsi="Times New Roman;serif"/>
          <w:b w:val="false"/>
          <w:color w:val="000000"/>
          <w:sz w:val="22"/>
          <w:u w:val="single"/>
        </w:rPr>
        <w:t>Determination; Claim</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9.5    </w:t>
      </w:r>
      <w:r>
        <w:rPr>
          <w:rFonts w:ascii="Times New Roman;serif" w:hAnsi="Times New Roman;serif"/>
          <w:b w:val="false"/>
          <w:color w:val="000000"/>
          <w:sz w:val="22"/>
          <w:u w:val="single"/>
        </w:rPr>
        <w:t>Non-Exclusivity of Rights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rights conferred on any person by this Article IX shall not be exclusive of any other rights which such person may have or hereafter acquire under any statute, provision of the Certificate of Formation, these Bylaws, agreement, vote of shareholders or disinterested directors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2"/>
        </w:rPr>
        <w:t>9.6    </w:t>
      </w:r>
      <w:r>
        <w:rPr>
          <w:rFonts w:ascii="Times New Roman;serif" w:hAnsi="Times New Roman;serif"/>
          <w:b w:val="false"/>
          <w:color w:val="000000"/>
          <w:sz w:val="22"/>
          <w:u w:val="single"/>
        </w:rPr>
        <w:t>Insurance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TBOC.</w:t>
      </w:r>
    </w:p>
    <w:p>
      <w:pPr>
        <w:pStyle w:val="TextBody"/>
        <w:bidi w:val="0"/>
        <w:spacing w:lineRule="auto" w:line="288" w:before="0" w:after="240"/>
        <w:ind w:left="0" w:right="0" w:firstLine="720"/>
        <w:jc w:val="both"/>
        <w:rPr/>
      </w:pPr>
      <w:r>
        <w:rPr>
          <w:rFonts w:ascii="Times New Roman;serif" w:hAnsi="Times New Roman;serif"/>
          <w:b w:val="false"/>
          <w:color w:val="000000"/>
          <w:sz w:val="22"/>
        </w:rPr>
        <w:t>9.7    </w:t>
      </w:r>
      <w:r>
        <w:rPr>
          <w:rFonts w:ascii="Times New Roman;serif" w:hAnsi="Times New Roman;serif"/>
          <w:b w:val="false"/>
          <w:color w:val="000000"/>
          <w:sz w:val="22"/>
          <w:u w:val="single"/>
        </w:rPr>
        <w:t>Other Indemnification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pStyle w:val="TextBody"/>
        <w:bidi w:val="0"/>
        <w:spacing w:lineRule="auto" w:line="288" w:before="0" w:after="240"/>
        <w:ind w:left="0" w:right="0" w:firstLine="720"/>
        <w:jc w:val="both"/>
        <w:rPr/>
      </w:pPr>
      <w:r>
        <w:rPr>
          <w:rFonts w:ascii="Times New Roman;serif" w:hAnsi="Times New Roman;serif"/>
          <w:b w:val="false"/>
          <w:color w:val="000000"/>
          <w:sz w:val="22"/>
        </w:rPr>
        <w:t>9.8    </w:t>
      </w:r>
      <w:r>
        <w:rPr>
          <w:rFonts w:ascii="Times New Roman;serif" w:hAnsi="Times New Roman;serif"/>
          <w:b w:val="false"/>
          <w:color w:val="000000"/>
          <w:sz w:val="22"/>
          <w:u w:val="single"/>
        </w:rPr>
        <w:t>Continuation of Indemnification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9.9    </w:t>
      </w:r>
      <w:r>
        <w:rPr>
          <w:rFonts w:ascii="Times New Roman;serif" w:hAnsi="Times New Roman;serif"/>
          <w:b w:val="false"/>
          <w:color w:val="000000"/>
          <w:sz w:val="22"/>
          <w:u w:val="single"/>
        </w:rPr>
        <w:t>Amendment or Repeal; Interpretation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formation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X - Amendments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Board is expressly empowered to adopt, amend or repeal these Bylaws. The shareholders also shall have power to adopt, amend or repeal these Bylaws; </w:t>
      </w:r>
      <w:r>
        <w:rPr>
          <w:rFonts w:ascii="Times New Roman;serif" w:hAnsi="Times New Roman;serif"/>
          <w:b w:val="false"/>
          <w:i/>
          <w:color w:val="000000"/>
          <w:sz w:val="22"/>
        </w:rPr>
        <w:t>provided, however</w:t>
      </w:r>
      <w:r>
        <w:rPr>
          <w:rFonts w:ascii="Times New Roman;serif" w:hAnsi="Times New Roman;serif"/>
          <w:b w:val="false"/>
          <w:color w:val="000000"/>
          <w:sz w:val="22"/>
        </w:rPr>
        <w:t>, that such action by shareholders shall require, in addition to any other vote required by the Certificate of Formation or applicable law, the affirmative vote of the holders of (a) prior to the Trigger Date (as defined in the Certificate of Formation), at least a majority of the voting power of all the then-outstanding shares of voting stock of the Corporation entitled to vote thereon, voting together as a single class, and (b) from and after the Trigger Date, at least 66 2/3% of the voting power of all the then-outstanding shares of voting stock of the Corporation entitled to vote thereon, voting together as a single class.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XI - Dispute Resolution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Unless the Corporation consents in writing to the selection of an alternative forum, the Business Court in the First Business Court Division of the State of Texas (the “</w:t>
      </w:r>
      <w:r>
        <w:rPr>
          <w:rFonts w:ascii="Times New Roman;serif" w:hAnsi="Times New Roman;serif"/>
          <w:b w:val="false"/>
          <w:color w:val="000000"/>
          <w:sz w:val="22"/>
          <w:u w:val="single"/>
        </w:rPr>
        <w:t>Business Court</w:t>
      </w:r>
      <w:r>
        <w:rPr>
          <w:color w:val="000000"/>
        </w:rPr>
        <w:t>”</w:t>
      </w:r>
      <w:r>
        <w:rPr>
          <w:rFonts w:ascii="Times New Roman;serif" w:hAnsi="Times New Roman;serif"/>
          <w:b w:val="false"/>
          <w:color w:val="000000"/>
          <w:sz w:val="22"/>
        </w:rPr>
        <w:t xml:space="preserve">) (or, if the Business Court determines that it lacks jurisdiction, the United States District Court for the Northern District of Texas, Dallas Division, or, if that court lacks jurisdiction, the state district court of Dallas County, Texas) shall, to the fullest extent permitted by law, be the sole and exclusive forum for any and all disputes, claims, actions or proceedings, including, but not limited to, the following: (i) any derivative action or proceeding brought on behalf of the Corporation, (ii) any action asserting a claim for or based on a breach of a fiduciary duty owed by any current or former director, officer, other employee, agent or shareholder of the Corporation to the Corporation or the Corporation’s shareholders, including a claim alleging the aiding and abetting of such a breach of fiduciary duty, (iii) any action arising pursuant to any provision of the TBOC or this Certificate of Formation or the Bylaws (as either may be amended from time to time) or as to which the Business Court has jurisdiction, (iv) any action to interpret, apply, enforce or determine the validity of this Certificate of Formation or the Bylaws (as either may be amended from time to time), (v) any action asserting a claim related to or involving the Corporation that is governed by the internal affairs doctrine, (vi) any action asserting an “internal entity claim” as that term is defined in Section 2.115 of the TBOC, or (vii) any other action within the jurisdiction of the Business Court, including any claims within the supplemental jurisdiction of the Business Court. Any person or entity purchasing or otherwise acquiring or holding any interest in shares of stock of the Corporation shall be deemed to have notice of, and consented to, the provisions of this Article XI, and shall be deemed to have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irrevocably and unconditionally agreed that the Business Court shall be the sole and exclusive forum for the resolution of the foregoing disputes to the fullest extent permitted by law. The existence of any prior consent to, or selection of, an alternative forum by the Corporation shall not act as a waiver of the Corporation’s ongoing consent right as set forth in this Article XI with respect to any current or future actions or claims. Failure to enforce the foregoing provisions would cause the Corporation irreparable harm and the Corporation shall be entitled to equitable relief, including injunctive relief and specific performance, to enforce the foregoing provisions. Notwithstanding the foregoing,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Article XI</w:t>
      </w:r>
      <w:r>
        <w:rPr>
          <w:color w:val="000000"/>
        </w:rPr>
        <w:t xml:space="preserve"> </w:t>
      </w:r>
      <w:r>
        <w:rPr>
          <w:rFonts w:ascii="Times New Roman;serif" w:hAnsi="Times New Roman;serif"/>
          <w:b w:val="false"/>
          <w:color w:val="000000"/>
          <w:sz w:val="22"/>
        </w:rPr>
        <w:t xml:space="preserve">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w:t>
      </w:r>
      <w:r>
        <w:rPr>
          <w:rFonts w:ascii="Times New Roman;serif" w:hAnsi="Times New Roman;serif"/>
          <w:b w:val="false"/>
          <w:color w:val="000000"/>
          <w:sz w:val="22"/>
          <w:u w:val="single"/>
        </w:rPr>
        <w:t>Article XI</w:t>
      </w:r>
      <w:r>
        <w:rPr>
          <w:color w:val="000000"/>
        </w:rPr>
        <w:t xml:space="preserve"> </w:t>
      </w:r>
      <w:r>
        <w:rPr>
          <w:rFonts w:ascii="Times New Roman;serif" w:hAnsi="Times New Roman;serif"/>
          <w:b w:val="false"/>
          <w:color w:val="000000"/>
          <w:sz w:val="22"/>
        </w:rPr>
        <w:t>shall not apply to suits brought to enforce any liability or duty created by the Securities Exchange Act of 1934, as amended, or any other claim for which the federal courts of the United States have exclusive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Severability.</w:t>
      </w:r>
      <w:r>
        <w:rPr>
          <w:color w:val="000000"/>
        </w:rPr>
        <w:t xml:space="preserve"> </w:t>
      </w:r>
      <w:r>
        <w:rPr>
          <w:rFonts w:ascii="Times New Roman;serif" w:hAnsi="Times New Roman;serif"/>
          <w:b w:val="false"/>
          <w:color w:val="000000"/>
          <w:sz w:val="22"/>
        </w:rPr>
        <w:t>If any provision or provisions of this Article XI shall be held to be invalid, illegal or unenforceable as applied to any circumstance for any reason whatsoever, (a) the validity, legality and enforceability of such provisions in any other circumstance and of the remaining provisions of this Article XI (including, without limitation, each portion of any paragraph of this Article XI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Article XII - Elections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corporation affirmatively elects to be governed by Section 21.419 of the TBOC and any successor provision thereto. During any time that the corporation has its common stock listed on a national securities exchange (as defined in Section 1.002(55-a) of the TBOC) or has 500 or more shareholders and elects to be governed by Section 21.419 of the TBOC, the required ownership threshold for purposes of Section 21.552(a)(3) of the TBOC shall be three percent (3%) of the outstanding shares of common stock of the corporation.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XIII - Definitions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these Bylaws, unless the context otherwise requires, the following terms shall have the following meanings:</w:t>
      </w:r>
    </w:p>
    <w:p>
      <w:pPr>
        <w:pStyle w:val="TextBody"/>
        <w:bidi w:val="0"/>
        <w:spacing w:lineRule="auto" w:line="288" w:before="0" w:after="240"/>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electronic transmission</w:t>
      </w:r>
      <w:r>
        <w:rPr>
          <w:color w:val="000000"/>
        </w:rPr>
        <w:t xml:space="preserve">” </w:t>
      </w:r>
      <w:r>
        <w:rPr>
          <w:rFonts w:ascii="Times New Roman;serif" w:hAnsi="Times New Roman;serif"/>
          <w:b w:val="false"/>
          <w:color w:val="000000"/>
          <w:sz w:val="22"/>
        </w:rPr>
        <w:t>means a form of communication, including communication by use of or participation in one or more electronic data systems (including one or more distributed electronic networks or databases, including those employing blockchain or distributed ledger technology), that does not directly involve the physical transmission of paper, that creates a record that may be retained, retrieved, and reviewed by a recipient thereof, and that may be directly reproduced in paper form by such a recipient through an automated process, as defined in Section 1.002 of the TBOC.</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electronic mail</w:t>
      </w:r>
      <w:r>
        <w:rPr>
          <w:color w:val="000000"/>
        </w:rPr>
        <w:t xml:space="preserve">” </w:t>
      </w:r>
      <w:r>
        <w:rPr>
          <w:rFonts w:ascii="Times New Roman;serif" w:hAnsi="Times New Roman;serif"/>
          <w:b w:val="false"/>
          <w:color w:val="000000"/>
          <w:sz w:val="22"/>
        </w:rPr>
        <w:t>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An “</w:t>
      </w:r>
      <w:r>
        <w:rPr>
          <w:rFonts w:ascii="Times New Roman;serif" w:hAnsi="Times New Roman;serif"/>
          <w:b w:val="false"/>
          <w:color w:val="000000"/>
          <w:sz w:val="22"/>
          <w:u w:val="single"/>
        </w:rPr>
        <w:t>electronic mail address</w:t>
      </w:r>
      <w:r>
        <w:rPr>
          <w:color w:val="000000"/>
        </w:rPr>
        <w:t xml:space="preserve">” </w:t>
      </w:r>
      <w:r>
        <w:rPr>
          <w:rFonts w:ascii="Times New Roman;serif" w:hAnsi="Times New Roman;serif"/>
          <w:b w:val="false"/>
          <w:color w:val="000000"/>
          <w:sz w:val="22"/>
        </w:rPr>
        <w:t>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20"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341"/>
        <w:gridCol w:w="1179"/>
        <w:gridCol w:w="1181"/>
        <w:gridCol w:w="444"/>
        <w:gridCol w:w="444"/>
        <w:gridCol w:w="444"/>
        <w:gridCol w:w="444"/>
        <w:gridCol w:w="444"/>
        <w:gridCol w:w="630"/>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6"/>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1271 Avenue of the Americas</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New York, New York 10020-1401</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Tel: +1.212.906.1200 Fax: +1.212.751.4864</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www.lw.com</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142875"/>
                  <wp:effectExtent l="0" t="0" r="0" b="0"/>
                  <wp:docPr id="6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 descr=""/>
                          <pic:cNvPicPr>
                            <a:picLocks noChangeAspect="1" noChangeArrowheads="1"/>
                          </pic:cNvPicPr>
                        </pic:nvPicPr>
                        <pic:blipFill>
                          <a:blip r:embed="rId13"/>
                          <a:stretch>
                            <a:fillRect/>
                          </a:stretch>
                        </pic:blipFill>
                        <pic:spPr bwMode="auto">
                          <a:xfrm>
                            <a:off x="0" y="0"/>
                            <a:ext cx="2286000" cy="142875"/>
                          </a:xfrm>
                          <a:prstGeom prst="rect">
                            <a:avLst/>
                          </a:prstGeom>
                        </pic:spPr>
                      </pic:pic>
                    </a:graphicData>
                  </a:graphic>
                </wp:inline>
              </w:drawing>
            </w:r>
          </w:p>
        </w:tc>
        <w:tc>
          <w:tcPr>
            <w:tcW w:w="28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FIRM / AFFILIATE OFFICES</w:t>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Austin</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Milan</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Beijing</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Munich</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Boston</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Brussels</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Orange County</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Chicago</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Paris</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Dubai</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Riyadh</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Düsseldorf</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San Diego</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Frankfurt</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San Francisco</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Hamburg</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Seoul</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Hong Kong</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Silicon Valley</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Houston</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Singapore</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London</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Tel Aviv</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 Angeles</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Tokyo</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Madrid</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Washington, D.C.</w:t>
            </w:r>
          </w:p>
        </w:tc>
      </w:tr>
    </w:tbl>
    <w:p>
      <w:pPr>
        <w:pStyle w:val="TextBody"/>
        <w:bidi w:val="0"/>
        <w:spacing w:before="0" w:after="1560"/>
        <w:jc w:val="left"/>
        <w:rPr/>
      </w:pPr>
      <w:r>
        <w:rPr/>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September 21,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Orion180 Insurance Group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930 S. Harbor City Blvd., Suite 302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Melbourne, Florida 32901</w:t>
      </w:r>
    </w:p>
    <w:tbl>
      <w:tblPr>
        <w:tblW w:w="3989" w:type="dxa"/>
        <w:jc w:val="left"/>
        <w:tblInd w:w="0" w:type="dxa"/>
        <w:tblLayout w:type="fixed"/>
        <w:tblCellMar>
          <w:top w:w="28" w:type="dxa"/>
          <w:left w:w="28" w:type="dxa"/>
          <w:bottom w:w="28" w:type="dxa"/>
          <w:right w:w="28" w:type="dxa"/>
        </w:tblCellMar>
      </w:tblPr>
      <w:tblGrid>
        <w:gridCol w:w="162"/>
        <w:gridCol w:w="143"/>
        <w:gridCol w:w="145"/>
        <w:gridCol w:w="1036"/>
        <w:gridCol w:w="1036"/>
        <w:gridCol w:w="1467"/>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w:t>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Registration Statement on Form S-8</w:t>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88" w:before="0" w:after="240"/>
        <w:ind w:left="0" w:right="0" w:firstLine="720"/>
        <w:jc w:val="left"/>
        <w:rPr/>
      </w:pPr>
      <w:r>
        <w:rPr>
          <w:rFonts w:ascii="Times New Roman;serif" w:hAnsi="Times New Roman;serif"/>
          <w:b w:val="false"/>
          <w:color w:val="000000"/>
          <w:sz w:val="24"/>
        </w:rPr>
        <w:t>We have acted as special counsel to Orion180 Insurance Group Inc., a Texas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the preparation and filing by the Company on the date hereof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of a registration statement on Form S-8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relating to the issuance of up to 6,291,320 shares of Class A common stock, $0.001 par value per share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which may be issued pursuant to the Equity Incentive Plan of Orion180 Group, Inc. (the “</w:t>
      </w:r>
      <w:r>
        <w:rPr>
          <w:rFonts w:ascii="Times New Roman;serif" w:hAnsi="Times New Roman;serif"/>
          <w:b/>
          <w:i/>
          <w:color w:val="000000"/>
          <w:sz w:val="24"/>
        </w:rPr>
        <w:t>Prior Plan</w:t>
      </w:r>
      <w:r>
        <w:rPr>
          <w:color w:val="000000"/>
        </w:rPr>
        <w:t>”</w:t>
      </w:r>
      <w:r>
        <w:rPr>
          <w:rFonts w:ascii="Times New Roman;serif" w:hAnsi="Times New Roman;serif"/>
          <w:b w:val="false"/>
          <w:color w:val="000000"/>
          <w:sz w:val="24"/>
        </w:rPr>
        <w:t>) and the 2026 Incentive Plan (the “</w:t>
      </w:r>
      <w:r>
        <w:rPr>
          <w:rFonts w:ascii="Times New Roman;serif" w:hAnsi="Times New Roman;serif"/>
          <w:b/>
          <w:i/>
          <w:color w:val="000000"/>
          <w:sz w:val="24"/>
        </w:rPr>
        <w:t>Incentive Plan</w:t>
      </w:r>
      <w:r>
        <w:rPr>
          <w:rFonts w:ascii="Times New Roman;serif" w:hAnsi="Times New Roman;serif"/>
          <w:b w:val="false"/>
          <w:color w:val="000000"/>
          <w:sz w:val="24"/>
        </w:rPr>
        <w:t>,” and together with, the Prior Plan, the “</w:t>
      </w:r>
      <w:r>
        <w:rPr>
          <w:rFonts w:ascii="Times New Roman;serif" w:hAnsi="Times New Roman;serif"/>
          <w:b/>
          <w:i/>
          <w:color w:val="000000"/>
          <w:sz w:val="24"/>
        </w:rPr>
        <w:t>Plans</w:t>
      </w:r>
      <w:r>
        <w:rPr>
          <w:color w:val="000000"/>
        </w:rPr>
        <w:t>”</w:t>
      </w:r>
      <w:r>
        <w:rPr>
          <w:rFonts w:ascii="Times New Roman;serif" w:hAnsi="Times New Roman;serif"/>
          <w:b w:val="false"/>
          <w:color w:val="000000"/>
          <w:sz w:val="24"/>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Business Organizations Code of the State of Texas, and we express no opinion with respect to any other laws.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89560"/>
                <wp:effectExtent l="0" t="0" r="0" b="0"/>
                <wp:wrapNone/>
                <wp:docPr id="65" name="Frame6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txbxContent>
                </v:textbox>
                <w10:wrap type="none"/>
              </v:rect>
            </w:pict>
          </mc:Fallback>
        </mc:AlternateContent>
      </w:r>
    </w:p>
    <w:tbl>
      <w:tblPr>
        <w:tblW w:w="2726" w:type="dxa"/>
        <w:jc w:val="left"/>
        <w:tblInd w:w="0" w:type="dxa"/>
        <w:tblLayout w:type="fixed"/>
        <w:tblCellMar>
          <w:top w:w="28" w:type="dxa"/>
          <w:left w:w="28" w:type="dxa"/>
          <w:bottom w:w="28" w:type="dxa"/>
          <w:right w:w="28" w:type="dxa"/>
        </w:tblCellMar>
      </w:tblPr>
      <w:tblGrid>
        <w:gridCol w:w="872"/>
        <w:gridCol w:w="767"/>
        <w:gridCol w:w="1087"/>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7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September 21, 2026</w:t>
            </w:r>
          </w:p>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Page 2</w:t>
            </w:r>
          </w:p>
        </w:tc>
      </w:tr>
      <w:tr>
        <w:trPr/>
        <w:tc>
          <w:tcPr>
            <w:tcW w:w="2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38300" cy="104775"/>
                  <wp:effectExtent l="0" t="0" r="0" b="0"/>
                  <wp:docPr id="6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 descr=""/>
                          <pic:cNvPicPr>
                            <a:picLocks noChangeAspect="1" noChangeArrowheads="1"/>
                          </pic:cNvPicPr>
                        </pic:nvPicPr>
                        <pic:blipFill>
                          <a:blip r:embed="rId14"/>
                          <a:stretch>
                            <a:fillRect/>
                          </a:stretch>
                        </pic:blipFill>
                        <pic:spPr bwMode="auto">
                          <a:xfrm>
                            <a:off x="0" y="0"/>
                            <a:ext cx="1638300" cy="104775"/>
                          </a:xfrm>
                          <a:prstGeom prst="rect">
                            <a:avLst/>
                          </a:prstGeom>
                        </pic:spPr>
                      </pic:pic>
                    </a:graphicData>
                  </a:graphic>
                </wp:inline>
              </w:drawing>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awarded and exercised in accordance with the requirements of law and the applicable Plan (and the agreements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Business Organizations Code of the State of Texas.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tbl>
      <w:tblPr>
        <w:tblW w:w="3057" w:type="dxa"/>
        <w:jc w:val="left"/>
        <w:tblInd w:w="0" w:type="dxa"/>
        <w:tblLayout w:type="fixed"/>
        <w:tblCellMar>
          <w:top w:w="28" w:type="dxa"/>
          <w:left w:w="28" w:type="dxa"/>
          <w:bottom w:w="28" w:type="dxa"/>
          <w:right w:w="28" w:type="dxa"/>
        </w:tblCellMar>
      </w:tblPr>
      <w:tblGrid>
        <w:gridCol w:w="124"/>
        <w:gridCol w:w="109"/>
        <w:gridCol w:w="109"/>
        <w:gridCol w:w="793"/>
        <w:gridCol w:w="793"/>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Sincerely,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Latham &amp; Watkins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We consent to the use of our report dated April 24, 2026, with respect to the consolidated financial statements of Orion180 Insurance Group Inc. and subsidiaries, incorporated by reference herein.</w:t>
      </w:r>
    </w:p>
    <w:p>
      <w:pPr>
        <w:pStyle w:val="TextBody"/>
        <w:bidi w:val="0"/>
        <w:spacing w:before="0" w:after="200"/>
        <w:jc w:val="left"/>
        <w:rPr/>
      </w:pPr>
      <w:r>
        <w:rPr/>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200"/>
        <w:jc w:val="left"/>
        <w:rPr/>
      </w:pPr>
      <w:r>
        <w:rPr/>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Atlanta, Georgia</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September 21, 2026</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24472/000162827926000521/filename1.htm" TargetMode="External"/><Relationship Id="rId3" Type="http://schemas.openxmlformats.org/officeDocument/2006/relationships/hyperlink" Target="https://www.sec.gov/Archives/edgar/data/2124472/000162827926000521/filename1.htm" TargetMode="External"/><Relationship Id="rId4" Type="http://schemas.openxmlformats.org/officeDocument/2006/relationships/hyperlink" Target="https://www.sec.gov/Archives/edgar/data/2124472/000162827926000521/filename1.htm" TargetMode="External"/><Relationship Id="rId5" Type="http://schemas.openxmlformats.org/officeDocument/2006/relationships/hyperlink" Target="https://www.sec.gov/Archives/edgar/data/2124472/000162828026061012/orion180-sx1a.htm" TargetMode="External"/><Relationship Id="rId6" Type="http://schemas.openxmlformats.org/officeDocument/2006/relationships/hyperlink" Target="https://www.sec.gov/Archives/edgar/data/2124472/000162828026062794/orion180-424b4.htm" TargetMode="External"/><Relationship Id="rId7" Type="http://schemas.openxmlformats.org/officeDocument/2006/relationships/hyperlink" Target="https://www.sec.gov/Archives/edgar/data/2124472/000162828026062794/orion180-424b4.htm" TargetMode="External"/><Relationship Id="rId8" Type="http://schemas.openxmlformats.org/officeDocument/2006/relationships/hyperlink" Target="https://www.sec.gov/Archives/edgar/data/2124472/000162828026062794/orion180-424b4.htm" TargetMode="External"/><Relationship Id="rId9" Type="http://schemas.openxmlformats.org/officeDocument/2006/relationships/hyperlink" Target="https://www.sec.gov/Archives/edgar/data/2124472/000162828026062084/orion180-8xa.htm" TargetMode="External"/><Relationship Id="rId10" Type="http://schemas.openxmlformats.org/officeDocument/2006/relationships/hyperlink" Target="https://www.sec.gov/Archives/edgar/data/2040807/000119312525012756/d900229dex41.htm" TargetMode="External"/><Relationship Id="rId11" Type="http://schemas.openxmlformats.org/officeDocument/2006/relationships/hyperlink" Target="https://www.sec.gov/Archives/edgar/data/2124472/000162828026061012/exhibit103-sx1a.htm" TargetMode="External"/><Relationship Id="rId12" Type="http://schemas.openxmlformats.org/officeDocument/2006/relationships/hyperlink" Target="https://www.sec.gov/Archives/edgar/data/2124472/000162828026058231/exhibit105-sx1.htm" TargetMode="External"/><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31764</Words>
  <Characters>162211</Characters>
  <CharactersWithSpaces>193765</CharactersWithSpaces>
  <Paragraphs>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