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9685143.xml.htm"/>
      <w:bookmarkStart w:id="1" w:name="kswkform3_178968514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Deshpande Samir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930 S. HARBOR CITY BLVD.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MELBOURNE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32901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09/17/2026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Orion180 Insurance Group Inc.</w:t>
              </w:r>
            </w:hyperlink>
            <w:r>
              <w:rPr/>
              <w:t xml:space="preserve"> [ </w:t>
            </w:r>
            <w:r>
              <w:rPr>
                <w:rFonts w:ascii="Times;serif" w:hAnsi="Times;serif"/>
                <w:color w:val="0000FF"/>
                <w:sz w:val="24"/>
                <w:shd w:fill="FFFFFF" w:val="clear"/>
              </w:rPr>
              <w:t>OIG</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Yuwei Le,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24</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16 AND FORM 144</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288" w:before="0" w:after="240"/>
        <w:ind w:left="0" w:right="0" w:firstLine="720"/>
        <w:jc w:val="left"/>
        <w:rPr/>
      </w:pPr>
      <w:r>
        <w:rPr>
          <w:rFonts w:ascii="Times New Roman;serif" w:hAnsi="Times New Roman;serif"/>
          <w:b w:val="false"/>
          <w:color w:val="000000"/>
          <w:sz w:val="20"/>
        </w:rPr>
        <w:t>With respect to holdings of and transactions in securities issued by Orion180 Group,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xml:space="preserve">), the undersigned hereby constitutes and appoints the individuals named on </w:t>
      </w:r>
      <w:r>
        <w:rPr>
          <w:rFonts w:ascii="Times New Roman;serif" w:hAnsi="Times New Roman;serif"/>
          <w:b/>
          <w:color w:val="000000"/>
          <w:sz w:val="20"/>
          <w:u w:val="single"/>
        </w:rPr>
        <w:t>Schedule A</w:t>
      </w:r>
      <w:r>
        <w:rPr>
          <w:color w:val="000000"/>
        </w:rPr>
        <w:t xml:space="preserve"> </w:t>
      </w:r>
      <w:r>
        <w:rPr>
          <w:rFonts w:ascii="Times New Roman;serif" w:hAnsi="Times New Roman;serif"/>
          <w:b w:val="false"/>
          <w:color w:val="000000"/>
          <w:sz w:val="20"/>
        </w:rPr>
        <w:t>attached hereto and as may be amended from time to time, or any of them signing singly, with full power of substitution and resubstitution, to act as the undersigned’s true and lawful attorney-in-fact to:</w:t>
      </w:r>
    </w:p>
    <w:p>
      <w:pPr>
        <w:pStyle w:val="TextBody"/>
        <w:bidi w:val="0"/>
        <w:spacing w:lineRule="auto" w:line="288" w:before="0" w:after="240"/>
        <w:ind w:left="0" w:right="0" w:hanging="675"/>
        <w:jc w:val="left"/>
        <w:rPr/>
      </w:pPr>
      <w:r>
        <w:rPr>
          <w:rFonts w:ascii="Times New Roman;serif" w:hAnsi="Times New Roman;serif"/>
          <w:b w:val="false"/>
          <w:color w:val="000000"/>
          <w:sz w:val="20"/>
        </w:rPr>
        <w:t>1.execute for and on behalf of the undersigned, Schedules 13D and 13G in accordance with Section 13 of the Securities Exchange Act of 1934, as amended (the “</w:t>
      </w:r>
      <w:r>
        <w:rPr>
          <w:rFonts w:ascii="Times New Roman;serif" w:hAnsi="Times New Roman;serif"/>
          <w:b/>
          <w:i/>
          <w:color w:val="000000"/>
          <w:sz w:val="20"/>
        </w:rPr>
        <w:t>Exchange Act</w:t>
      </w:r>
      <w:r>
        <w:rPr>
          <w:color w:val="000000"/>
        </w:rPr>
        <w:t>”</w:t>
      </w:r>
      <w:r>
        <w:rPr>
          <w:rFonts w:ascii="Times New Roman;serif" w:hAnsi="Times New Roman;serif"/>
          <w:b w:val="false"/>
          <w:color w:val="000000"/>
          <w:sz w:val="20"/>
        </w:rPr>
        <w:t>), and the rules thereunder, and Forms 3, 4, and 5 in accordance with Section 16 of the Exchange Act and the rules thereunder, and Notices of Proposed Sale of Securities Pursuant to Rule 144 (“</w:t>
      </w:r>
      <w:r>
        <w:rPr>
          <w:rFonts w:ascii="Times New Roman;serif" w:hAnsi="Times New Roman;serif"/>
          <w:b/>
          <w:i/>
          <w:color w:val="000000"/>
          <w:sz w:val="20"/>
        </w:rPr>
        <w:t>Form 144</w:t>
      </w:r>
      <w:r>
        <w:rPr>
          <w:color w:val="000000"/>
        </w:rPr>
        <w:t>”</w:t>
      </w:r>
      <w:r>
        <w:rPr>
          <w:rFonts w:ascii="Times New Roman;serif" w:hAnsi="Times New Roman;serif"/>
          <w:b w:val="false"/>
          <w:color w:val="000000"/>
          <w:sz w:val="20"/>
        </w:rPr>
        <w:t>), in accordance with the requirements of Rule 144 under the Securities Act of 1933, as amended (the “</w:t>
      </w:r>
      <w:r>
        <w:rPr>
          <w:rFonts w:ascii="Times New Roman;serif" w:hAnsi="Times New Roman;serif"/>
          <w:b/>
          <w:i/>
          <w:color w:val="000000"/>
          <w:sz w:val="20"/>
        </w:rPr>
        <w:t>Securities Act</w:t>
      </w:r>
      <w:r>
        <w:rPr>
          <w:color w:val="000000"/>
        </w:rPr>
        <w:t>”</w:t>
      </w:r>
      <w:r>
        <w:rPr>
          <w:rFonts w:ascii="Times New Roman;serif" w:hAnsi="Times New Roman;serif"/>
          <w:b w:val="false"/>
          <w:color w:val="000000"/>
          <w:sz w:val="20"/>
        </w:rPr>
        <w:t>); and</w:t>
      </w:r>
    </w:p>
    <w:p>
      <w:pPr>
        <w:pStyle w:val="TextBody"/>
        <w:bidi w:val="0"/>
        <w:spacing w:lineRule="auto" w:line="288" w:before="0" w:after="240"/>
        <w:ind w:left="0" w:right="0" w:hanging="675"/>
        <w:jc w:val="left"/>
        <w:rPr>
          <w:rFonts w:ascii="Times New Roman;serif" w:hAnsi="Times New Roman;serif"/>
          <w:b w:val="false"/>
          <w:color w:val="000000"/>
          <w:sz w:val="20"/>
        </w:rPr>
      </w:pPr>
      <w:r>
        <w:rPr>
          <w:rFonts w:ascii="Times New Roman;serif" w:hAnsi="Times New Roman;serif"/>
          <w:b w:val="false"/>
          <w:color w:val="000000"/>
          <w:sz w:val="20"/>
        </w:rPr>
        <w:t>2.do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pStyle w:val="TextBody"/>
        <w:bidi w:val="0"/>
        <w:spacing w:lineRule="auto" w:line="288" w:before="0" w:after="240"/>
        <w:ind w:left="0" w:right="0" w:firstLine="720"/>
        <w:jc w:val="left"/>
        <w:rPr/>
      </w:pPr>
      <w:r>
        <w:rPr>
          <w:rFonts w:ascii="Times New Roman;serif" w:hAnsi="Times New Roman;serif"/>
          <w:b w:val="false"/>
          <w:color w:val="000000"/>
          <w:sz w:val="20"/>
        </w:rPr>
        <w:t>IN WITNESS WHEREOF, the undersigned has caused this Power of Attorney to be executed as of this 29</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of June, 2026.</w:t>
      </w:r>
    </w:p>
    <w:tbl>
      <w:tblPr>
        <w:tblW w:w="1815" w:type="dxa"/>
        <w:jc w:val="right"/>
        <w:tblInd w:w="0" w:type="dxa"/>
        <w:tblLayout w:type="fixed"/>
        <w:tblCellMar>
          <w:top w:w="28" w:type="dxa"/>
          <w:left w:w="28" w:type="dxa"/>
          <w:bottom w:w="28" w:type="dxa"/>
          <w:right w:w="28" w:type="dxa"/>
        </w:tblCellMar>
      </w:tblPr>
      <w:tblGrid>
        <w:gridCol w:w="580"/>
        <w:gridCol w:w="511"/>
        <w:gridCol w:w="724"/>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Samir Deshpande</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Samir Deshpande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Schedule 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INDIVIDUALS APPOINTED AS ATTORNEY-IN-FACT,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WITH FULL POWER OF SUBSTITUTION AND RESUBSTITUTION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1.Christoph Birchler, Chief Financial Officer of the Company</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2.Yuwei Le, VP - Public Reporting and Technical Accounting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12481" TargetMode="External"/><Relationship Id="rId3" Type="http://schemas.openxmlformats.org/officeDocument/2006/relationships/hyperlink" Target="http://www.sec.gov/cgi-bin/browse-edgar?action=getcompany&amp;CIK=000212447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918</Words>
  <Characters>4882</Characters>
  <CharactersWithSpaces>5739</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